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9C0A" w14:textId="77777777" w:rsidR="00E20DC4" w:rsidRPr="00243141" w:rsidRDefault="00E20DC4" w:rsidP="008976FF">
      <w:pPr>
        <w:rPr>
          <w:rFonts w:asciiTheme="minorHAnsi" w:hAnsiTheme="minorHAnsi" w:cstheme="minorHAnsi"/>
          <w:b/>
          <w:bCs/>
          <w:sz w:val="22"/>
          <w:szCs w:val="22"/>
        </w:rPr>
      </w:pPr>
    </w:p>
    <w:p w14:paraId="02A8E5E1" w14:textId="5F1EEF21" w:rsidR="008976FF" w:rsidRPr="00243141" w:rsidRDefault="008976FF" w:rsidP="00D25660">
      <w:pPr>
        <w:rPr>
          <w:rFonts w:asciiTheme="minorHAnsi" w:hAnsiTheme="minorHAnsi" w:cstheme="minorHAnsi"/>
          <w:sz w:val="22"/>
          <w:szCs w:val="22"/>
        </w:rPr>
      </w:pPr>
      <w:r w:rsidRPr="00243141">
        <w:rPr>
          <w:rFonts w:asciiTheme="minorHAnsi" w:hAnsiTheme="minorHAnsi" w:cstheme="minorHAnsi"/>
          <w:b/>
          <w:bCs/>
          <w:sz w:val="22"/>
          <w:szCs w:val="22"/>
        </w:rPr>
        <w:t xml:space="preserve">Program Title: </w:t>
      </w:r>
      <w:r w:rsidR="00DF6B47" w:rsidRPr="004F251E">
        <w:rPr>
          <w:rFonts w:asciiTheme="minorHAnsi" w:hAnsiTheme="minorHAnsi" w:cstheme="minorHAnsi"/>
          <w:b/>
          <w:bCs/>
          <w:color w:val="EE0000"/>
          <w:sz w:val="22"/>
          <w:szCs w:val="22"/>
        </w:rPr>
        <w:t xml:space="preserve">[Added by </w:t>
      </w:r>
      <w:proofErr w:type="spellStart"/>
      <w:r w:rsidR="00DF6B47" w:rsidRPr="004F251E">
        <w:rPr>
          <w:rFonts w:asciiTheme="minorHAnsi" w:hAnsiTheme="minorHAnsi" w:cstheme="minorHAnsi"/>
          <w:b/>
          <w:bCs/>
          <w:color w:val="EE0000"/>
          <w:sz w:val="22"/>
          <w:szCs w:val="22"/>
        </w:rPr>
        <w:t>DiabetesEd</w:t>
      </w:r>
      <w:proofErr w:type="spellEnd"/>
      <w:r w:rsidR="00DF6B47" w:rsidRPr="004F251E">
        <w:rPr>
          <w:rFonts w:asciiTheme="minorHAnsi" w:hAnsiTheme="minorHAnsi" w:cstheme="minorHAnsi"/>
          <w:b/>
          <w:bCs/>
          <w:color w:val="EE0000"/>
          <w:sz w:val="22"/>
          <w:szCs w:val="22"/>
        </w:rPr>
        <w:t xml:space="preserve"> Services]</w:t>
      </w:r>
    </w:p>
    <w:p w14:paraId="248789B5" w14:textId="77777777" w:rsidR="008976FF" w:rsidRPr="00243141" w:rsidRDefault="008976FF" w:rsidP="00D25660">
      <w:pPr>
        <w:rPr>
          <w:rFonts w:asciiTheme="minorHAnsi" w:hAnsiTheme="minorHAnsi" w:cstheme="minorHAnsi"/>
          <w:b/>
          <w:bCs/>
          <w:sz w:val="22"/>
          <w:szCs w:val="22"/>
        </w:rPr>
      </w:pPr>
    </w:p>
    <w:p w14:paraId="7EBABB98" w14:textId="4E21CFE8" w:rsidR="008976FF" w:rsidRPr="00243141" w:rsidRDefault="008976FF" w:rsidP="00D25660">
      <w:pPr>
        <w:rPr>
          <w:rFonts w:asciiTheme="minorHAnsi" w:hAnsiTheme="minorHAnsi" w:cstheme="minorHAnsi"/>
          <w:sz w:val="22"/>
          <w:szCs w:val="22"/>
        </w:rPr>
      </w:pPr>
      <w:r w:rsidRPr="00243141">
        <w:rPr>
          <w:rFonts w:asciiTheme="minorHAnsi" w:hAnsiTheme="minorHAnsi" w:cstheme="minorHAnsi"/>
          <w:b/>
          <w:bCs/>
          <w:sz w:val="22"/>
          <w:szCs w:val="22"/>
        </w:rPr>
        <w:t xml:space="preserve">Target Audience: </w:t>
      </w:r>
      <w:r w:rsidR="00DF6B47" w:rsidRPr="00DF6B47">
        <w:rPr>
          <w:rFonts w:asciiTheme="minorHAnsi" w:hAnsiTheme="minorHAnsi" w:cstheme="minorHAnsi"/>
          <w:b/>
          <w:bCs/>
          <w:sz w:val="22"/>
          <w:szCs w:val="22"/>
        </w:rPr>
        <w:t xml:space="preserve">This course is a knowledge-based activity designed for individuals or groups of diabetes professionals, including RNs, RDs/RDNs, Pharmacists, Nurse Practitioners, Clinical Nurse Specialists, Physician Assistants, and other healthcare providers interested in staying up to date on current practices of care for people with prediabetes, diabetes, and other related conditions. The practice areas for RDs/RDNs for CDR reporting are healthcare, preventative care, wellness, </w:t>
      </w:r>
      <w:proofErr w:type="gramStart"/>
      <w:r w:rsidR="00DF6B47" w:rsidRPr="00DF6B47">
        <w:rPr>
          <w:rFonts w:asciiTheme="minorHAnsi" w:hAnsiTheme="minorHAnsi" w:cstheme="minorHAnsi"/>
          <w:b/>
          <w:bCs/>
          <w:sz w:val="22"/>
          <w:szCs w:val="22"/>
        </w:rPr>
        <w:t>and,</w:t>
      </w:r>
      <w:proofErr w:type="gramEnd"/>
      <w:r w:rsidR="00DF6B47" w:rsidRPr="00DF6B47">
        <w:rPr>
          <w:rFonts w:asciiTheme="minorHAnsi" w:hAnsiTheme="minorHAnsi" w:cstheme="minorHAnsi"/>
          <w:b/>
          <w:bCs/>
          <w:sz w:val="22"/>
          <w:szCs w:val="22"/>
        </w:rPr>
        <w:t xml:space="preserve"> lifestyle along </w:t>
      </w:r>
      <w:proofErr w:type="gramStart"/>
      <w:r w:rsidR="00DF6B47" w:rsidRPr="00DF6B47">
        <w:rPr>
          <w:rFonts w:asciiTheme="minorHAnsi" w:hAnsiTheme="minorHAnsi" w:cstheme="minorHAnsi"/>
          <w:b/>
          <w:bCs/>
          <w:sz w:val="22"/>
          <w:szCs w:val="22"/>
        </w:rPr>
        <w:t>with,</w:t>
      </w:r>
      <w:proofErr w:type="gramEnd"/>
      <w:r w:rsidR="00DF6B47" w:rsidRPr="00DF6B47">
        <w:rPr>
          <w:rFonts w:asciiTheme="minorHAnsi" w:hAnsiTheme="minorHAnsi" w:cstheme="minorHAnsi"/>
          <w:b/>
          <w:bCs/>
          <w:sz w:val="22"/>
          <w:szCs w:val="22"/>
        </w:rPr>
        <w:t xml:space="preserve"> education and research. </w:t>
      </w:r>
    </w:p>
    <w:p w14:paraId="5CBBBB11" w14:textId="77777777" w:rsidR="008976FF" w:rsidRPr="00243141" w:rsidRDefault="008976FF" w:rsidP="00D25660">
      <w:pPr>
        <w:rPr>
          <w:rFonts w:asciiTheme="minorHAnsi" w:hAnsiTheme="minorHAnsi" w:cstheme="minorHAnsi"/>
          <w:sz w:val="22"/>
          <w:szCs w:val="22"/>
        </w:rPr>
      </w:pPr>
    </w:p>
    <w:p w14:paraId="290456F7" w14:textId="74C725DA" w:rsidR="008976FF" w:rsidRPr="00243141" w:rsidRDefault="008976FF" w:rsidP="00D25660">
      <w:pPr>
        <w:rPr>
          <w:rFonts w:asciiTheme="minorHAnsi" w:hAnsiTheme="minorHAnsi" w:cstheme="minorHAnsi"/>
          <w:sz w:val="22"/>
          <w:szCs w:val="22"/>
        </w:rPr>
      </w:pPr>
      <w:r w:rsidRPr="00243141">
        <w:rPr>
          <w:rFonts w:asciiTheme="minorHAnsi" w:hAnsiTheme="minorHAnsi" w:cstheme="minorHAnsi"/>
          <w:b/>
          <w:bCs/>
          <w:sz w:val="22"/>
          <w:szCs w:val="22"/>
        </w:rPr>
        <w:t>Learning Objectives:</w:t>
      </w:r>
    </w:p>
    <w:p w14:paraId="268908C4" w14:textId="170420AC" w:rsidR="008976FF" w:rsidRPr="00243141" w:rsidRDefault="008976FF" w:rsidP="00D25660">
      <w:pPr>
        <w:rPr>
          <w:rFonts w:asciiTheme="minorHAnsi" w:hAnsiTheme="minorHAnsi" w:cstheme="minorHAnsi"/>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800"/>
      </w:tblGrid>
      <w:tr w:rsidR="00770FEB" w:rsidRPr="00243141" w14:paraId="031E0D1B" w14:textId="77777777" w:rsidTr="005E25EB">
        <w:tc>
          <w:tcPr>
            <w:tcW w:w="10800" w:type="dxa"/>
            <w:shd w:val="clear" w:color="auto" w:fill="F2F2F2" w:themeFill="background1" w:themeFillShade="F2"/>
          </w:tcPr>
          <w:p w14:paraId="5BAC7C01" w14:textId="45C37BE9" w:rsidR="00770FEB" w:rsidRPr="00243141" w:rsidRDefault="00770FEB" w:rsidP="00D25660">
            <w:pPr>
              <w:numPr>
                <w:ilvl w:val="0"/>
                <w:numId w:val="7"/>
              </w:numPr>
              <w:contextualSpacing/>
              <w:rPr>
                <w:rFonts w:asciiTheme="minorHAnsi" w:hAnsiTheme="minorHAnsi" w:cstheme="minorHAnsi"/>
                <w:sz w:val="22"/>
                <w:szCs w:val="22"/>
              </w:rPr>
            </w:pPr>
          </w:p>
        </w:tc>
      </w:tr>
      <w:tr w:rsidR="00770FEB" w:rsidRPr="00243141" w14:paraId="41877C64" w14:textId="77777777" w:rsidTr="005E25EB">
        <w:tc>
          <w:tcPr>
            <w:tcW w:w="10800" w:type="dxa"/>
          </w:tcPr>
          <w:p w14:paraId="32E97703" w14:textId="77757FB2" w:rsidR="00770FEB" w:rsidRPr="00243141" w:rsidRDefault="00770FEB" w:rsidP="00D25660">
            <w:pPr>
              <w:numPr>
                <w:ilvl w:val="0"/>
                <w:numId w:val="7"/>
              </w:numPr>
              <w:contextualSpacing/>
              <w:rPr>
                <w:rFonts w:asciiTheme="minorHAnsi" w:hAnsiTheme="minorHAnsi" w:cstheme="minorHAnsi"/>
                <w:sz w:val="22"/>
                <w:szCs w:val="22"/>
              </w:rPr>
            </w:pPr>
          </w:p>
        </w:tc>
      </w:tr>
      <w:tr w:rsidR="00770FEB" w:rsidRPr="00243141" w14:paraId="1641C1E1" w14:textId="77777777" w:rsidTr="005E25EB">
        <w:tc>
          <w:tcPr>
            <w:tcW w:w="10800" w:type="dxa"/>
            <w:shd w:val="clear" w:color="auto" w:fill="F2F2F2" w:themeFill="background1" w:themeFillShade="F2"/>
          </w:tcPr>
          <w:p w14:paraId="05BBF20E" w14:textId="71B0B8A3" w:rsidR="00770FEB" w:rsidRPr="00243141" w:rsidRDefault="00770FEB" w:rsidP="00D25660">
            <w:pPr>
              <w:numPr>
                <w:ilvl w:val="0"/>
                <w:numId w:val="7"/>
              </w:numPr>
              <w:contextualSpacing/>
              <w:rPr>
                <w:rFonts w:asciiTheme="minorHAnsi" w:hAnsiTheme="minorHAnsi" w:cstheme="minorHAnsi"/>
                <w:sz w:val="22"/>
                <w:szCs w:val="22"/>
              </w:rPr>
            </w:pPr>
          </w:p>
        </w:tc>
      </w:tr>
      <w:tr w:rsidR="00770FEB" w:rsidRPr="00243141" w14:paraId="642DA96D" w14:textId="77777777" w:rsidTr="005E25EB">
        <w:tc>
          <w:tcPr>
            <w:tcW w:w="10800" w:type="dxa"/>
          </w:tcPr>
          <w:p w14:paraId="73B79074" w14:textId="23A8317D" w:rsidR="00770FEB" w:rsidRPr="00243141" w:rsidRDefault="00770FEB" w:rsidP="00D25660">
            <w:pPr>
              <w:numPr>
                <w:ilvl w:val="0"/>
                <w:numId w:val="7"/>
              </w:numPr>
              <w:contextualSpacing/>
              <w:rPr>
                <w:rFonts w:asciiTheme="minorHAnsi" w:hAnsiTheme="minorHAnsi" w:cstheme="minorHAnsi"/>
                <w:sz w:val="22"/>
                <w:szCs w:val="22"/>
              </w:rPr>
            </w:pPr>
          </w:p>
        </w:tc>
      </w:tr>
    </w:tbl>
    <w:p w14:paraId="6B815526" w14:textId="77777777" w:rsidR="00770FEB" w:rsidRPr="00243141" w:rsidRDefault="00770FEB" w:rsidP="00D25660">
      <w:pPr>
        <w:rPr>
          <w:rFonts w:asciiTheme="minorHAnsi" w:hAnsiTheme="minorHAnsi" w:cstheme="minorHAnsi"/>
          <w:sz w:val="22"/>
          <w:szCs w:val="22"/>
        </w:rPr>
      </w:pPr>
    </w:p>
    <w:p w14:paraId="7222022B" w14:textId="2C3F6295" w:rsidR="008976FF" w:rsidRPr="00243141" w:rsidRDefault="008976FF" w:rsidP="00D25660">
      <w:pPr>
        <w:rPr>
          <w:rFonts w:asciiTheme="minorHAnsi" w:hAnsiTheme="minorHAnsi" w:cstheme="minorHAnsi"/>
          <w:sz w:val="22"/>
          <w:szCs w:val="22"/>
        </w:rPr>
      </w:pPr>
      <w:r w:rsidRPr="00243141">
        <w:rPr>
          <w:rFonts w:asciiTheme="minorHAnsi" w:hAnsiTheme="minorHAnsi" w:cstheme="minorHAnsi"/>
          <w:b/>
          <w:bCs/>
          <w:sz w:val="22"/>
          <w:szCs w:val="22"/>
        </w:rPr>
        <w:t>Supporter</w:t>
      </w:r>
      <w:r w:rsidR="0061753A" w:rsidRPr="00243141">
        <w:rPr>
          <w:rFonts w:asciiTheme="minorHAnsi" w:hAnsiTheme="minorHAnsi" w:cstheme="minorHAnsi"/>
          <w:b/>
          <w:bCs/>
          <w:sz w:val="22"/>
          <w:szCs w:val="22"/>
        </w:rPr>
        <w:t>(</w:t>
      </w:r>
      <w:r w:rsidRPr="00243141">
        <w:rPr>
          <w:rFonts w:asciiTheme="minorHAnsi" w:hAnsiTheme="minorHAnsi" w:cstheme="minorHAnsi"/>
          <w:b/>
          <w:bCs/>
          <w:sz w:val="22"/>
          <w:szCs w:val="22"/>
        </w:rPr>
        <w:t>s</w:t>
      </w:r>
      <w:r w:rsidR="0061753A" w:rsidRPr="00243141">
        <w:rPr>
          <w:rFonts w:asciiTheme="minorHAnsi" w:hAnsiTheme="minorHAnsi" w:cstheme="minorHAnsi"/>
          <w:b/>
          <w:bCs/>
          <w:sz w:val="22"/>
          <w:szCs w:val="22"/>
        </w:rPr>
        <w:t>)</w:t>
      </w:r>
      <w:r w:rsidRPr="00243141">
        <w:rPr>
          <w:rFonts w:asciiTheme="minorHAnsi" w:hAnsiTheme="minorHAnsi" w:cstheme="minorHAnsi"/>
          <w:b/>
          <w:bCs/>
          <w:sz w:val="22"/>
          <w:szCs w:val="22"/>
        </w:rPr>
        <w:t xml:space="preserve">: </w:t>
      </w:r>
    </w:p>
    <w:p w14:paraId="4CEFD175" w14:textId="16B5B0AB" w:rsidR="008976FF" w:rsidRPr="00243141" w:rsidRDefault="000B1783" w:rsidP="00D25660">
      <w:pPr>
        <w:rPr>
          <w:rFonts w:asciiTheme="minorHAnsi" w:hAnsiTheme="minorHAnsi" w:cstheme="minorHAnsi"/>
          <w:sz w:val="22"/>
          <w:szCs w:val="22"/>
        </w:rPr>
      </w:pPr>
      <w:r w:rsidRPr="00243141">
        <w:rPr>
          <w:rFonts w:asciiTheme="minorHAnsi" w:hAnsiTheme="minorHAnsi" w:cstheme="minorHAnsi"/>
          <w:b/>
          <w:bCs/>
          <w:noProof/>
          <w:snapToGrid/>
          <w:sz w:val="22"/>
          <w:szCs w:val="22"/>
        </w:rPr>
        <mc:AlternateContent>
          <mc:Choice Requires="wps">
            <w:drawing>
              <wp:anchor distT="0" distB="0" distL="114300" distR="114300" simplePos="0" relativeHeight="251658240" behindDoc="0" locked="0" layoutInCell="1" allowOverlap="1" wp14:anchorId="762B4DBE" wp14:editId="3CF7FC20">
                <wp:simplePos x="0" y="0"/>
                <wp:positionH relativeFrom="column">
                  <wp:posOffset>-257175</wp:posOffset>
                </wp:positionH>
                <wp:positionV relativeFrom="paragraph">
                  <wp:posOffset>163830</wp:posOffset>
                </wp:positionV>
                <wp:extent cx="74009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7400925" cy="95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7B00B"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2.9pt" to="56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" strokecolor="black [3213]" strokeweight="1.25pt">
                <v:stroke joinstyle="miter"/>
              </v:line>
            </w:pict>
          </mc:Fallback>
        </mc:AlternateContent>
      </w:r>
    </w:p>
    <w:p w14:paraId="147428B3" w14:textId="77777777" w:rsidR="000A5278" w:rsidRPr="00243141" w:rsidRDefault="000A5278" w:rsidP="00D25660">
      <w:pPr>
        <w:rPr>
          <w:rFonts w:asciiTheme="minorHAnsi" w:hAnsiTheme="minorHAnsi" w:cstheme="minorHAnsi"/>
          <w:sz w:val="22"/>
          <w:szCs w:val="22"/>
        </w:rPr>
      </w:pPr>
    </w:p>
    <w:p w14:paraId="474A2428" w14:textId="64E2809F" w:rsidR="000A5278" w:rsidRPr="00243141" w:rsidRDefault="000A5278" w:rsidP="00D25660">
      <w:pPr>
        <w:rPr>
          <w:rFonts w:asciiTheme="minorHAnsi" w:hAnsiTheme="minorHAnsi" w:cstheme="minorHAnsi"/>
          <w:sz w:val="22"/>
          <w:szCs w:val="22"/>
        </w:rPr>
      </w:pPr>
      <w:r w:rsidRPr="00243141">
        <w:rPr>
          <w:rFonts w:asciiTheme="minorHAnsi" w:hAnsiTheme="minorHAnsi" w:cstheme="minorHAnsi"/>
          <w:sz w:val="22"/>
          <w:szCs w:val="22"/>
        </w:rPr>
        <w:t>On behalf of Partners for Advancing Clinical Education (P</w:t>
      </w:r>
      <w:r w:rsidR="008A67AE">
        <w:rPr>
          <w:rFonts w:asciiTheme="minorHAnsi" w:hAnsiTheme="minorHAnsi" w:cstheme="minorHAnsi"/>
          <w:sz w:val="22"/>
          <w:szCs w:val="22"/>
        </w:rPr>
        <w:t>artners</w:t>
      </w:r>
      <w:r w:rsidRPr="00243141">
        <w:rPr>
          <w:rFonts w:asciiTheme="minorHAnsi" w:hAnsiTheme="minorHAnsi" w:cstheme="minorHAnsi"/>
          <w:sz w:val="22"/>
          <w:szCs w:val="22"/>
        </w:rPr>
        <w:t xml:space="preserve">) and </w:t>
      </w:r>
      <w:r w:rsidR="00FA2B0C">
        <w:rPr>
          <w:rFonts w:asciiTheme="minorHAnsi" w:hAnsiTheme="minorHAnsi" w:cstheme="minorHAnsi"/>
          <w:sz w:val="22"/>
          <w:szCs w:val="22"/>
        </w:rPr>
        <w:t>Diabetes Education Services</w:t>
      </w:r>
      <w:r w:rsidRPr="00243141">
        <w:rPr>
          <w:rFonts w:asciiTheme="minorHAnsi" w:hAnsiTheme="minorHAnsi" w:cstheme="minorHAnsi"/>
          <w:sz w:val="22"/>
          <w:szCs w:val="22"/>
        </w:rPr>
        <w:t xml:space="preserve">, </w:t>
      </w:r>
      <w:r w:rsidR="004371AD" w:rsidRPr="00243141">
        <w:rPr>
          <w:rFonts w:asciiTheme="minorHAnsi" w:hAnsiTheme="minorHAnsi" w:cstheme="minorHAnsi"/>
          <w:sz w:val="22"/>
          <w:szCs w:val="22"/>
        </w:rPr>
        <w:t>thank you for agreeing</w:t>
      </w:r>
      <w:r w:rsidRPr="00243141">
        <w:rPr>
          <w:rFonts w:asciiTheme="minorHAnsi" w:hAnsiTheme="minorHAnsi" w:cstheme="minorHAnsi"/>
          <w:sz w:val="22"/>
          <w:szCs w:val="22"/>
        </w:rPr>
        <w:t xml:space="preserve"> to serve as faculty for this important educational program. As the accredited continuing education (CE) provider, P</w:t>
      </w:r>
      <w:r w:rsidR="008A67AE">
        <w:rPr>
          <w:rFonts w:asciiTheme="minorHAnsi" w:hAnsiTheme="minorHAnsi" w:cstheme="minorHAnsi"/>
          <w:sz w:val="22"/>
          <w:szCs w:val="22"/>
        </w:rPr>
        <w:t>artners</w:t>
      </w:r>
      <w:r w:rsidRPr="00243141">
        <w:rPr>
          <w:rFonts w:asciiTheme="minorHAnsi" w:hAnsiTheme="minorHAnsi" w:cstheme="minorHAnsi"/>
          <w:sz w:val="22"/>
          <w:szCs w:val="22"/>
        </w:rPr>
        <w:t xml:space="preserve"> will be working in joint </w:t>
      </w:r>
      <w:proofErr w:type="spellStart"/>
      <w:r w:rsidRPr="00243141">
        <w:rPr>
          <w:rFonts w:asciiTheme="minorHAnsi" w:hAnsiTheme="minorHAnsi" w:cstheme="minorHAnsi"/>
          <w:sz w:val="22"/>
          <w:szCs w:val="22"/>
        </w:rPr>
        <w:t>providership</w:t>
      </w:r>
      <w:proofErr w:type="spellEnd"/>
      <w:r w:rsidRPr="00243141">
        <w:rPr>
          <w:rFonts w:asciiTheme="minorHAnsi" w:hAnsiTheme="minorHAnsi" w:cstheme="minorHAnsi"/>
          <w:sz w:val="22"/>
          <w:szCs w:val="22"/>
        </w:rPr>
        <w:t xml:space="preserve"> with </w:t>
      </w:r>
      <w:r w:rsidR="00FA2B0C">
        <w:rPr>
          <w:rFonts w:asciiTheme="minorHAnsi" w:hAnsiTheme="minorHAnsi" w:cstheme="minorHAnsi"/>
          <w:sz w:val="22"/>
          <w:szCs w:val="22"/>
        </w:rPr>
        <w:t>Diabetes Education Services</w:t>
      </w:r>
      <w:r w:rsidR="00FA2B0C" w:rsidRPr="00243141">
        <w:rPr>
          <w:rFonts w:asciiTheme="minorHAnsi" w:hAnsiTheme="minorHAnsi" w:cstheme="minorHAnsi"/>
          <w:sz w:val="22"/>
          <w:szCs w:val="22"/>
        </w:rPr>
        <w:t xml:space="preserve"> </w:t>
      </w:r>
      <w:r w:rsidRPr="00243141">
        <w:rPr>
          <w:rFonts w:asciiTheme="minorHAnsi" w:hAnsiTheme="minorHAnsi" w:cstheme="minorHAnsi"/>
          <w:sz w:val="22"/>
          <w:szCs w:val="22"/>
        </w:rPr>
        <w:t xml:space="preserve">to produce this educational </w:t>
      </w:r>
      <w:r w:rsidR="003F05D4" w:rsidRPr="00243141">
        <w:rPr>
          <w:rFonts w:asciiTheme="minorHAnsi" w:hAnsiTheme="minorHAnsi" w:cstheme="minorHAnsi"/>
          <w:sz w:val="22"/>
          <w:szCs w:val="22"/>
        </w:rPr>
        <w:t>offering.</w:t>
      </w:r>
      <w:r w:rsidRPr="00243141">
        <w:rPr>
          <w:rFonts w:asciiTheme="minorHAnsi" w:hAnsiTheme="minorHAnsi" w:cstheme="minorHAnsi"/>
          <w:sz w:val="22"/>
          <w:szCs w:val="22"/>
        </w:rPr>
        <w:t xml:space="preserve"> </w:t>
      </w:r>
      <w:r w:rsidR="00DF6B47">
        <w:rPr>
          <w:rFonts w:asciiTheme="minorHAnsi" w:hAnsiTheme="minorHAnsi" w:cstheme="minorHAnsi"/>
          <w:sz w:val="22"/>
          <w:szCs w:val="22"/>
        </w:rPr>
        <w:t>Bryanna Sabourin</w:t>
      </w:r>
      <w:r w:rsidRPr="00243141">
        <w:rPr>
          <w:rFonts w:asciiTheme="minorHAnsi" w:hAnsiTheme="minorHAnsi" w:cstheme="minorHAnsi"/>
          <w:sz w:val="22"/>
          <w:szCs w:val="22"/>
        </w:rPr>
        <w:t xml:space="preserve"> </w:t>
      </w:r>
      <w:r w:rsidR="00923761">
        <w:rPr>
          <w:rFonts w:asciiTheme="minorHAnsi" w:hAnsiTheme="minorHAnsi" w:cstheme="minorHAnsi"/>
          <w:sz w:val="22"/>
          <w:szCs w:val="22"/>
        </w:rPr>
        <w:t>with</w:t>
      </w:r>
      <w:r w:rsidR="00EE1699" w:rsidRPr="00243141">
        <w:rPr>
          <w:rFonts w:asciiTheme="minorHAnsi" w:hAnsiTheme="minorHAnsi" w:cstheme="minorHAnsi"/>
          <w:sz w:val="22"/>
          <w:szCs w:val="22"/>
        </w:rPr>
        <w:t xml:space="preserve"> </w:t>
      </w:r>
      <w:r w:rsidR="00FA2B0C">
        <w:rPr>
          <w:rFonts w:asciiTheme="minorHAnsi" w:hAnsiTheme="minorHAnsi" w:cstheme="minorHAnsi"/>
          <w:sz w:val="22"/>
          <w:szCs w:val="22"/>
        </w:rPr>
        <w:t>Diabetes Education Services</w:t>
      </w:r>
      <w:r w:rsidR="00C46CF5" w:rsidRPr="00243141">
        <w:rPr>
          <w:rFonts w:asciiTheme="minorHAnsi" w:hAnsiTheme="minorHAnsi" w:cstheme="minorHAnsi"/>
          <w:sz w:val="22"/>
          <w:szCs w:val="22"/>
        </w:rPr>
        <w:t xml:space="preserve"> </w:t>
      </w:r>
      <w:r w:rsidRPr="00243141">
        <w:rPr>
          <w:rFonts w:asciiTheme="minorHAnsi" w:hAnsiTheme="minorHAnsi" w:cstheme="minorHAnsi"/>
          <w:sz w:val="22"/>
          <w:szCs w:val="22"/>
        </w:rPr>
        <w:t xml:space="preserve">will be your primary contact and can be reached via telephone </w:t>
      </w:r>
      <w:proofErr w:type="gramStart"/>
      <w:r w:rsidRPr="00243141">
        <w:rPr>
          <w:rFonts w:asciiTheme="minorHAnsi" w:hAnsiTheme="minorHAnsi" w:cstheme="minorHAnsi"/>
          <w:sz w:val="22"/>
          <w:szCs w:val="22"/>
        </w:rPr>
        <w:t xml:space="preserve">at </w:t>
      </w:r>
      <w:r w:rsidR="00DF6B47">
        <w:rPr>
          <w:rFonts w:asciiTheme="minorHAnsi" w:hAnsiTheme="minorHAnsi" w:cstheme="minorHAnsi"/>
          <w:sz w:val="22"/>
          <w:szCs w:val="22"/>
        </w:rPr>
        <w:t xml:space="preserve"> 530</w:t>
      </w:r>
      <w:proofErr w:type="gramEnd"/>
      <w:r w:rsidR="00DF6B47">
        <w:rPr>
          <w:rFonts w:asciiTheme="minorHAnsi" w:hAnsiTheme="minorHAnsi" w:cstheme="minorHAnsi"/>
          <w:sz w:val="22"/>
          <w:szCs w:val="22"/>
        </w:rPr>
        <w:t>-893-8635</w:t>
      </w:r>
      <w:r w:rsidRPr="00243141">
        <w:rPr>
          <w:rFonts w:asciiTheme="minorHAnsi" w:hAnsiTheme="minorHAnsi" w:cstheme="minorHAnsi"/>
          <w:sz w:val="22"/>
          <w:szCs w:val="22"/>
        </w:rPr>
        <w:t xml:space="preserve"> or via email at</w:t>
      </w:r>
      <w:r w:rsidR="00DF6B47">
        <w:rPr>
          <w:rFonts w:asciiTheme="minorHAnsi" w:hAnsiTheme="minorHAnsi" w:cstheme="minorHAnsi"/>
          <w:sz w:val="22"/>
          <w:szCs w:val="22"/>
        </w:rPr>
        <w:t xml:space="preserve"> bryanna@diabetesed.net</w:t>
      </w:r>
    </w:p>
    <w:p w14:paraId="0259F72A" w14:textId="77777777" w:rsidR="000A5278" w:rsidRPr="00243141" w:rsidRDefault="000A5278" w:rsidP="00DC57C9">
      <w:pPr>
        <w:rPr>
          <w:rFonts w:asciiTheme="minorHAnsi" w:hAnsiTheme="minorHAnsi" w:cstheme="minorHAnsi"/>
          <w:sz w:val="22"/>
          <w:szCs w:val="22"/>
        </w:rPr>
      </w:pPr>
    </w:p>
    <w:p w14:paraId="6F08C638" w14:textId="7D40F950" w:rsidR="00B00A8B" w:rsidRPr="00243141" w:rsidRDefault="00B00A8B" w:rsidP="00DC57C9">
      <w:pPr>
        <w:ind w:left="720" w:hanging="720"/>
        <w:rPr>
          <w:rFonts w:asciiTheme="minorHAnsi" w:hAnsiTheme="minorHAnsi" w:cstheme="minorHAnsi"/>
          <w:b/>
          <w:iCs/>
          <w:sz w:val="22"/>
          <w:szCs w:val="22"/>
        </w:rPr>
      </w:pPr>
      <w:r w:rsidRPr="00243141">
        <w:rPr>
          <w:rFonts w:asciiTheme="minorHAnsi" w:hAnsiTheme="minorHAnsi" w:cstheme="minorHAnsi"/>
          <w:b/>
          <w:iCs/>
          <w:sz w:val="22"/>
          <w:szCs w:val="22"/>
        </w:rPr>
        <w:t xml:space="preserve">Why am I </w:t>
      </w:r>
      <w:r w:rsidR="00FB6F98">
        <w:rPr>
          <w:rFonts w:asciiTheme="minorHAnsi" w:hAnsiTheme="minorHAnsi" w:cstheme="minorHAnsi"/>
          <w:b/>
          <w:iCs/>
          <w:sz w:val="22"/>
          <w:szCs w:val="22"/>
        </w:rPr>
        <w:t>r</w:t>
      </w:r>
      <w:r w:rsidRPr="00243141">
        <w:rPr>
          <w:rFonts w:asciiTheme="minorHAnsi" w:hAnsiTheme="minorHAnsi" w:cstheme="minorHAnsi"/>
          <w:b/>
          <w:iCs/>
          <w:sz w:val="22"/>
          <w:szCs w:val="22"/>
        </w:rPr>
        <w:t xml:space="preserve">eceiving this </w:t>
      </w:r>
      <w:r w:rsidR="00FB6F98">
        <w:rPr>
          <w:rFonts w:asciiTheme="minorHAnsi" w:hAnsiTheme="minorHAnsi" w:cstheme="minorHAnsi"/>
          <w:b/>
          <w:iCs/>
          <w:sz w:val="22"/>
          <w:szCs w:val="22"/>
        </w:rPr>
        <w:t>c</w:t>
      </w:r>
      <w:r w:rsidRPr="00243141">
        <w:rPr>
          <w:rFonts w:asciiTheme="minorHAnsi" w:hAnsiTheme="minorHAnsi" w:cstheme="minorHAnsi"/>
          <w:b/>
          <w:iCs/>
          <w:sz w:val="22"/>
          <w:szCs w:val="22"/>
        </w:rPr>
        <w:t>ommunication?</w:t>
      </w:r>
    </w:p>
    <w:p w14:paraId="6A70BBB7" w14:textId="212FEA80" w:rsidR="008C7CE3" w:rsidRPr="00243141" w:rsidRDefault="008C7CE3" w:rsidP="00DC57C9">
      <w:pPr>
        <w:rPr>
          <w:rFonts w:asciiTheme="minorHAnsi" w:hAnsiTheme="minorHAnsi" w:cstheme="minorHAnsi"/>
          <w:color w:val="000000" w:themeColor="text1"/>
          <w:kern w:val="24"/>
          <w:sz w:val="22"/>
          <w:szCs w:val="22"/>
        </w:rPr>
      </w:pPr>
      <w:r w:rsidRPr="00243141">
        <w:rPr>
          <w:rFonts w:asciiTheme="minorHAnsi" w:hAnsiTheme="minorHAnsi" w:cstheme="minorHAnsi"/>
          <w:sz w:val="22"/>
          <w:szCs w:val="22"/>
        </w:rPr>
        <w:t>W</w:t>
      </w:r>
      <w:r w:rsidRPr="00243141">
        <w:rPr>
          <w:rFonts w:asciiTheme="minorHAnsi" w:hAnsiTheme="minorHAnsi" w:cstheme="minorHAnsi"/>
          <w:color w:val="000000" w:themeColor="text1"/>
          <w:kern w:val="24"/>
          <w:sz w:val="22"/>
          <w:szCs w:val="22"/>
        </w:rPr>
        <w:t>e appreciate your help in partnering with us to follow accreditation guidelines and help us create high-quality education that is independent of industry influence.</w:t>
      </w:r>
    </w:p>
    <w:p w14:paraId="01DE4EA6" w14:textId="77777777" w:rsidR="008C7CE3" w:rsidRPr="00243141" w:rsidRDefault="008C7CE3" w:rsidP="00DC57C9">
      <w:pPr>
        <w:rPr>
          <w:rFonts w:asciiTheme="minorHAnsi" w:hAnsiTheme="minorHAnsi" w:cstheme="minorHAnsi"/>
          <w:color w:val="000000" w:themeColor="text1"/>
          <w:kern w:val="24"/>
          <w:sz w:val="22"/>
          <w:szCs w:val="22"/>
        </w:rPr>
      </w:pPr>
    </w:p>
    <w:p w14:paraId="487BF0C0" w14:textId="77777777" w:rsidR="008C7CE3" w:rsidRPr="00243141" w:rsidRDefault="008C7CE3" w:rsidP="00DC57C9">
      <w:pPr>
        <w:kinsoku w:val="0"/>
        <w:overflowPunct w:val="0"/>
        <w:textAlignment w:val="baseline"/>
        <w:rPr>
          <w:rFonts w:asciiTheme="minorHAnsi" w:hAnsiTheme="minorHAnsi" w:cstheme="minorHAnsi"/>
          <w:color w:val="000000" w:themeColor="text1"/>
          <w:kern w:val="24"/>
          <w:sz w:val="22"/>
          <w:szCs w:val="22"/>
        </w:rPr>
      </w:pPr>
      <w:proofErr w:type="gramStart"/>
      <w:r w:rsidRPr="00243141">
        <w:rPr>
          <w:rFonts w:asciiTheme="minorHAnsi" w:hAnsiTheme="minorHAnsi" w:cstheme="minorHAnsi"/>
          <w:b/>
          <w:bCs/>
          <w:color w:val="000000" w:themeColor="text1"/>
          <w:kern w:val="24"/>
          <w:sz w:val="22"/>
          <w:szCs w:val="22"/>
        </w:rPr>
        <w:t>In order to</w:t>
      </w:r>
      <w:proofErr w:type="gramEnd"/>
      <w:r w:rsidRPr="00243141">
        <w:rPr>
          <w:rFonts w:asciiTheme="minorHAnsi" w:hAnsiTheme="minorHAnsi" w:cstheme="minorHAnsi"/>
          <w:b/>
          <w:bCs/>
          <w:color w:val="000000" w:themeColor="text1"/>
          <w:kern w:val="24"/>
          <w:sz w:val="22"/>
          <w:szCs w:val="22"/>
        </w:rPr>
        <w:t xml:space="preserve"> participate as a person who will be able to control the educational content of this accredited CE activity, we ask that you disclose all financial relationships with any ineligible companies that you have had over the past 24 months</w:t>
      </w:r>
      <w:r w:rsidRPr="00243141">
        <w:rPr>
          <w:rFonts w:asciiTheme="minorHAnsi" w:hAnsiTheme="minorHAnsi" w:cstheme="minorHAnsi"/>
          <w:color w:val="000000" w:themeColor="text1"/>
          <w:kern w:val="24"/>
          <w:sz w:val="22"/>
          <w:szCs w:val="22"/>
        </w:rPr>
        <w:t xml:space="preserve">. We define ineligible companies as those whose primary business is producing, marketing, selling, re-selling, or distributing healthcare products used by or on patients. There is no minimum financial threshold; you must disclose all financial relationships, regardless of the amount, with ineligible companies. We ask you to disclose regardless of whether you view the financial relationships as relevant to the education. For more information on the </w:t>
      </w:r>
      <w:r w:rsidRPr="00243141">
        <w:rPr>
          <w:rFonts w:asciiTheme="minorHAnsi" w:hAnsiTheme="minorHAnsi" w:cstheme="minorHAnsi"/>
          <w:i/>
          <w:iCs/>
          <w:color w:val="000000" w:themeColor="text1"/>
          <w:kern w:val="24"/>
          <w:sz w:val="22"/>
          <w:szCs w:val="22"/>
        </w:rPr>
        <w:t>Standards for Integrity and Independence in Accredited Continuing Education</w:t>
      </w:r>
      <w:r w:rsidRPr="00243141">
        <w:rPr>
          <w:rFonts w:asciiTheme="minorHAnsi" w:hAnsiTheme="minorHAnsi" w:cstheme="minorHAnsi"/>
          <w:color w:val="000000" w:themeColor="text1"/>
          <w:kern w:val="24"/>
          <w:sz w:val="22"/>
          <w:szCs w:val="22"/>
        </w:rPr>
        <w:t xml:space="preserve">, please visit </w:t>
      </w:r>
      <w:hyperlink r:id="rId11" w:history="1">
        <w:r w:rsidRPr="00243141">
          <w:rPr>
            <w:rStyle w:val="Hyperlink"/>
            <w:rFonts w:asciiTheme="minorHAnsi" w:hAnsiTheme="minorHAnsi" w:cstheme="minorHAnsi"/>
            <w:kern w:val="24"/>
            <w:sz w:val="22"/>
            <w:szCs w:val="22"/>
          </w:rPr>
          <w:t>www.accme.org/standards</w:t>
        </w:r>
      </w:hyperlink>
      <w:r w:rsidRPr="00243141">
        <w:rPr>
          <w:rFonts w:asciiTheme="minorHAnsi" w:hAnsiTheme="minorHAnsi" w:cstheme="minorHAnsi"/>
          <w:color w:val="000000" w:themeColor="text1"/>
          <w:kern w:val="24"/>
          <w:sz w:val="22"/>
          <w:szCs w:val="22"/>
        </w:rPr>
        <w:t>.</w:t>
      </w:r>
    </w:p>
    <w:p w14:paraId="55CFC34D" w14:textId="77777777" w:rsidR="008C7CE3" w:rsidRPr="00243141" w:rsidRDefault="008C7CE3" w:rsidP="00DC57C9">
      <w:pPr>
        <w:kinsoku w:val="0"/>
        <w:overflowPunct w:val="0"/>
        <w:textAlignment w:val="baseline"/>
        <w:rPr>
          <w:rFonts w:asciiTheme="minorHAnsi" w:hAnsiTheme="minorHAnsi" w:cstheme="minorHAnsi"/>
          <w:b/>
          <w:bCs/>
          <w:color w:val="000000" w:themeColor="text1"/>
          <w:kern w:val="24"/>
          <w:sz w:val="22"/>
          <w:szCs w:val="22"/>
        </w:rPr>
      </w:pPr>
    </w:p>
    <w:p w14:paraId="546BACF8" w14:textId="25157649" w:rsidR="00A700F3" w:rsidRPr="00243141" w:rsidRDefault="00A700F3" w:rsidP="00DC57C9">
      <w:pPr>
        <w:ind w:left="720" w:hanging="720"/>
        <w:rPr>
          <w:rFonts w:asciiTheme="minorHAnsi" w:hAnsiTheme="minorHAnsi" w:cstheme="minorHAnsi"/>
          <w:b/>
          <w:iCs/>
          <w:sz w:val="22"/>
          <w:szCs w:val="22"/>
        </w:rPr>
      </w:pPr>
      <w:r w:rsidRPr="00243141">
        <w:rPr>
          <w:rFonts w:asciiTheme="minorHAnsi" w:hAnsiTheme="minorHAnsi" w:cstheme="minorHAnsi"/>
          <w:b/>
          <w:iCs/>
          <w:sz w:val="22"/>
          <w:szCs w:val="22"/>
        </w:rPr>
        <w:t xml:space="preserve">Why do we </w:t>
      </w:r>
      <w:r w:rsidR="002C5B68">
        <w:rPr>
          <w:rFonts w:asciiTheme="minorHAnsi" w:hAnsiTheme="minorHAnsi" w:cstheme="minorHAnsi"/>
          <w:b/>
          <w:iCs/>
          <w:sz w:val="22"/>
          <w:szCs w:val="22"/>
        </w:rPr>
        <w:t>c</w:t>
      </w:r>
      <w:r w:rsidRPr="00243141">
        <w:rPr>
          <w:rFonts w:asciiTheme="minorHAnsi" w:hAnsiTheme="minorHAnsi" w:cstheme="minorHAnsi"/>
          <w:b/>
          <w:iCs/>
          <w:sz w:val="22"/>
          <w:szCs w:val="22"/>
        </w:rPr>
        <w:t>ollect this Information?</w:t>
      </w:r>
    </w:p>
    <w:p w14:paraId="1E8451BE" w14:textId="1D5802AF" w:rsidR="008C7CE3" w:rsidRPr="00243141" w:rsidRDefault="008C7CE3" w:rsidP="00DC57C9">
      <w:pPr>
        <w:kinsoku w:val="0"/>
        <w:overflowPunct w:val="0"/>
        <w:textAlignment w:val="baseline"/>
        <w:rPr>
          <w:rFonts w:asciiTheme="minorHAnsi" w:hAnsiTheme="minorHAnsi" w:cstheme="minorHAnsi"/>
          <w:color w:val="000000" w:themeColor="text1"/>
          <w:kern w:val="24"/>
          <w:sz w:val="22"/>
          <w:szCs w:val="22"/>
        </w:rPr>
      </w:pPr>
      <w:r w:rsidRPr="00243141">
        <w:rPr>
          <w:rFonts w:asciiTheme="minorHAnsi" w:hAnsiTheme="minorHAnsi" w:cstheme="minorHAnsi"/>
          <w:color w:val="000000" w:themeColor="text1"/>
          <w:kern w:val="24"/>
          <w:sz w:val="22"/>
          <w:szCs w:val="22"/>
        </w:rPr>
        <w:t>Since healthcare professionals serve as the trusted authorities when advising patients, they must protect their learning environment from industry influence to ensure they remain true to their ethical commitments. Many healthcare professionals have financial relationships with ineligible companies. By identifying and mitigating relevant financial relationships, we work together to create a protected space to learn, teach, and engage in scientific discourse free from influence from organizations that may have an incentive to insert commercial bias into education.</w:t>
      </w:r>
    </w:p>
    <w:p w14:paraId="5540A7A9" w14:textId="0D68A86B" w:rsidR="008C7CE3" w:rsidRPr="00243141" w:rsidRDefault="008C7CE3" w:rsidP="00DC57C9">
      <w:pPr>
        <w:kinsoku w:val="0"/>
        <w:overflowPunct w:val="0"/>
        <w:textAlignment w:val="baseline"/>
        <w:rPr>
          <w:rFonts w:asciiTheme="minorHAnsi" w:hAnsiTheme="minorHAnsi" w:cstheme="minorHAnsi"/>
          <w:color w:val="000000" w:themeColor="text1"/>
          <w:kern w:val="24"/>
          <w:sz w:val="22"/>
          <w:szCs w:val="22"/>
        </w:rPr>
      </w:pPr>
    </w:p>
    <w:p w14:paraId="41AE0FF0" w14:textId="076498CE" w:rsidR="00A700F3" w:rsidRPr="00243141" w:rsidRDefault="00A700F3" w:rsidP="00DC57C9">
      <w:pPr>
        <w:ind w:left="720" w:hanging="720"/>
        <w:rPr>
          <w:rFonts w:asciiTheme="minorHAnsi" w:hAnsiTheme="minorHAnsi" w:cstheme="minorHAnsi"/>
          <w:b/>
          <w:iCs/>
          <w:sz w:val="22"/>
          <w:szCs w:val="22"/>
        </w:rPr>
      </w:pPr>
      <w:r w:rsidRPr="00243141">
        <w:rPr>
          <w:rFonts w:asciiTheme="minorHAnsi" w:hAnsiTheme="minorHAnsi" w:cstheme="minorHAnsi"/>
          <w:b/>
          <w:iCs/>
          <w:sz w:val="22"/>
          <w:szCs w:val="22"/>
        </w:rPr>
        <w:t xml:space="preserve">What are the </w:t>
      </w:r>
      <w:r w:rsidR="002C5B68">
        <w:rPr>
          <w:rFonts w:asciiTheme="minorHAnsi" w:hAnsiTheme="minorHAnsi" w:cstheme="minorHAnsi"/>
          <w:b/>
          <w:iCs/>
          <w:sz w:val="22"/>
          <w:szCs w:val="22"/>
        </w:rPr>
        <w:t>n</w:t>
      </w:r>
      <w:r w:rsidRPr="00243141">
        <w:rPr>
          <w:rFonts w:asciiTheme="minorHAnsi" w:hAnsiTheme="minorHAnsi" w:cstheme="minorHAnsi"/>
          <w:b/>
          <w:iCs/>
          <w:sz w:val="22"/>
          <w:szCs w:val="22"/>
        </w:rPr>
        <w:t xml:space="preserve">ext </w:t>
      </w:r>
      <w:r w:rsidR="002C5B68">
        <w:rPr>
          <w:rFonts w:asciiTheme="minorHAnsi" w:hAnsiTheme="minorHAnsi" w:cstheme="minorHAnsi"/>
          <w:b/>
          <w:iCs/>
          <w:sz w:val="22"/>
          <w:szCs w:val="22"/>
        </w:rPr>
        <w:t>s</w:t>
      </w:r>
      <w:r w:rsidRPr="00243141">
        <w:rPr>
          <w:rFonts w:asciiTheme="minorHAnsi" w:hAnsiTheme="minorHAnsi" w:cstheme="minorHAnsi"/>
          <w:b/>
          <w:iCs/>
          <w:sz w:val="22"/>
          <w:szCs w:val="22"/>
        </w:rPr>
        <w:t xml:space="preserve">teps in this </w:t>
      </w:r>
      <w:r w:rsidR="002C5B68">
        <w:rPr>
          <w:rFonts w:asciiTheme="minorHAnsi" w:hAnsiTheme="minorHAnsi" w:cstheme="minorHAnsi"/>
          <w:b/>
          <w:iCs/>
          <w:sz w:val="22"/>
          <w:szCs w:val="22"/>
        </w:rPr>
        <w:t>p</w:t>
      </w:r>
      <w:r w:rsidRPr="00243141">
        <w:rPr>
          <w:rFonts w:asciiTheme="minorHAnsi" w:hAnsiTheme="minorHAnsi" w:cstheme="minorHAnsi"/>
          <w:b/>
          <w:iCs/>
          <w:sz w:val="22"/>
          <w:szCs w:val="22"/>
        </w:rPr>
        <w:t>rocess?</w:t>
      </w:r>
    </w:p>
    <w:p w14:paraId="2C6CDCBB" w14:textId="68CF6E02" w:rsidR="008C7CE3" w:rsidRPr="00243141" w:rsidRDefault="008C7CE3" w:rsidP="00DC57C9">
      <w:pPr>
        <w:kinsoku w:val="0"/>
        <w:overflowPunct w:val="0"/>
        <w:textAlignment w:val="baseline"/>
        <w:rPr>
          <w:rFonts w:asciiTheme="minorHAnsi" w:hAnsiTheme="minorHAnsi" w:cstheme="minorHAnsi"/>
          <w:color w:val="000000" w:themeColor="text1"/>
          <w:kern w:val="24"/>
          <w:sz w:val="22"/>
          <w:szCs w:val="22"/>
        </w:rPr>
      </w:pPr>
      <w:r w:rsidRPr="00243141">
        <w:rPr>
          <w:rFonts w:asciiTheme="minorHAnsi" w:hAnsiTheme="minorHAnsi" w:cstheme="minorHAnsi"/>
          <w:color w:val="000000" w:themeColor="text1"/>
          <w:kern w:val="24"/>
          <w:sz w:val="22"/>
          <w:szCs w:val="22"/>
        </w:rPr>
        <w:t xml:space="preserve">After we receive your disclosure information, we will review it to determine whether your financial relationships are relevant to the education. Please note: the identification of relevant financial relationships does not necessarily mean </w:t>
      </w:r>
      <w:r w:rsidRPr="00243141">
        <w:rPr>
          <w:rFonts w:asciiTheme="minorHAnsi" w:hAnsiTheme="minorHAnsi" w:cstheme="minorHAnsi"/>
          <w:color w:val="000000" w:themeColor="text1"/>
          <w:kern w:val="24"/>
          <w:sz w:val="22"/>
          <w:szCs w:val="22"/>
        </w:rPr>
        <w:lastRenderedPageBreak/>
        <w:t xml:space="preserve">that you are unable to participate in the planning and implementation of this educational activity. Rather, the accreditation standards require that relevant financial relationships are mitigated </w:t>
      </w:r>
      <w:r w:rsidR="00F2728A" w:rsidRPr="00243141">
        <w:rPr>
          <w:rFonts w:asciiTheme="minorHAnsi" w:hAnsiTheme="minorHAnsi" w:cstheme="minorHAnsi"/>
          <w:color w:val="000000"/>
          <w:sz w:val="22"/>
          <w:szCs w:val="22"/>
        </w:rPr>
        <w:t>to ensure that educational content is objective, fair, and balanced</w:t>
      </w:r>
      <w:r w:rsidRPr="00243141">
        <w:rPr>
          <w:rFonts w:asciiTheme="minorHAnsi" w:hAnsiTheme="minorHAnsi" w:cstheme="minorHAnsi"/>
          <w:color w:val="000000" w:themeColor="text1"/>
          <w:kern w:val="24"/>
          <w:sz w:val="22"/>
          <w:szCs w:val="22"/>
        </w:rPr>
        <w:t>.</w:t>
      </w:r>
    </w:p>
    <w:p w14:paraId="675CBFB5" w14:textId="74F8C938" w:rsidR="008C7CE3" w:rsidRPr="00243141" w:rsidRDefault="008C7CE3" w:rsidP="00DC57C9">
      <w:pPr>
        <w:kinsoku w:val="0"/>
        <w:overflowPunct w:val="0"/>
        <w:textAlignment w:val="baseline"/>
        <w:rPr>
          <w:rFonts w:asciiTheme="minorHAnsi" w:hAnsiTheme="minorHAnsi" w:cstheme="minorHAnsi"/>
          <w:color w:val="000000" w:themeColor="text1"/>
          <w:kern w:val="24"/>
          <w:sz w:val="22"/>
          <w:szCs w:val="22"/>
        </w:rPr>
      </w:pPr>
    </w:p>
    <w:p w14:paraId="074C5073" w14:textId="77777777" w:rsidR="00D25660" w:rsidRPr="00243141" w:rsidRDefault="00D25660" w:rsidP="00DC57C9">
      <w:pPr>
        <w:kinsoku w:val="0"/>
        <w:overflowPunct w:val="0"/>
        <w:textAlignment w:val="baseline"/>
        <w:rPr>
          <w:rFonts w:asciiTheme="minorHAnsi" w:hAnsiTheme="minorHAnsi" w:cstheme="minorHAnsi"/>
          <w:color w:val="000000" w:themeColor="text1"/>
          <w:kern w:val="24"/>
          <w:sz w:val="22"/>
          <w:szCs w:val="22"/>
        </w:rPr>
      </w:pPr>
    </w:p>
    <w:p w14:paraId="6C33716C" w14:textId="037B6025" w:rsidR="008C7CE3" w:rsidRPr="00243141" w:rsidRDefault="008C7CE3" w:rsidP="00DC57C9">
      <w:pPr>
        <w:kinsoku w:val="0"/>
        <w:overflowPunct w:val="0"/>
        <w:textAlignment w:val="baseline"/>
        <w:rPr>
          <w:rFonts w:asciiTheme="minorHAnsi" w:hAnsiTheme="minorHAnsi" w:cstheme="minorHAnsi"/>
          <w:b/>
          <w:bCs/>
          <w:color w:val="000000" w:themeColor="text1"/>
          <w:kern w:val="24"/>
          <w:sz w:val="22"/>
          <w:szCs w:val="22"/>
        </w:rPr>
      </w:pPr>
      <w:r w:rsidRPr="00243141">
        <w:rPr>
          <w:rFonts w:asciiTheme="minorHAnsi" w:hAnsiTheme="minorHAnsi" w:cstheme="minorHAnsi"/>
          <w:b/>
          <w:bCs/>
          <w:color w:val="000000" w:themeColor="text1"/>
          <w:kern w:val="24"/>
          <w:sz w:val="22"/>
          <w:szCs w:val="22"/>
        </w:rPr>
        <w:t xml:space="preserve">To help us meet these expectations, please use the form we have provided to share all financial relationships you have had with ineligible companies during the past 24 months. Please kindly return the completed form within two weeks via email to </w:t>
      </w:r>
      <w:r w:rsidR="00DF6B47" w:rsidRPr="00DF6B47">
        <w:rPr>
          <w:rFonts w:asciiTheme="minorHAnsi" w:hAnsiTheme="minorHAnsi" w:cstheme="minorHAnsi"/>
          <w:b/>
          <w:bCs/>
          <w:color w:val="000000" w:themeColor="text1"/>
          <w:kern w:val="24"/>
          <w:sz w:val="22"/>
          <w:szCs w:val="22"/>
        </w:rPr>
        <w:t>bryanna@diabetesed.net</w:t>
      </w:r>
      <w:r w:rsidR="00DF6B47">
        <w:rPr>
          <w:rFonts w:asciiTheme="minorHAnsi" w:hAnsiTheme="minorHAnsi" w:cstheme="minorHAnsi"/>
          <w:b/>
          <w:bCs/>
          <w:color w:val="000000" w:themeColor="text1"/>
          <w:kern w:val="24"/>
          <w:sz w:val="22"/>
          <w:szCs w:val="22"/>
        </w:rPr>
        <w:t>.</w:t>
      </w:r>
    </w:p>
    <w:p w14:paraId="0C9320F1" w14:textId="77777777" w:rsidR="008C7CE3" w:rsidRPr="00243141" w:rsidRDefault="008C7CE3" w:rsidP="00DC57C9">
      <w:pPr>
        <w:rPr>
          <w:rFonts w:asciiTheme="minorHAnsi" w:hAnsiTheme="minorHAnsi" w:cstheme="minorHAnsi"/>
          <w:color w:val="000000" w:themeColor="text1"/>
          <w:kern w:val="24"/>
          <w:sz w:val="22"/>
          <w:szCs w:val="22"/>
        </w:rPr>
      </w:pPr>
    </w:p>
    <w:p w14:paraId="5F79F3F3" w14:textId="77777777" w:rsidR="00473E8E" w:rsidRPr="00243141" w:rsidRDefault="00473E8E" w:rsidP="00DC57C9">
      <w:pPr>
        <w:ind w:left="720" w:hanging="720"/>
        <w:rPr>
          <w:rFonts w:asciiTheme="minorHAnsi" w:hAnsiTheme="minorHAnsi" w:cstheme="minorHAnsi"/>
          <w:b/>
          <w:iCs/>
          <w:sz w:val="22"/>
          <w:szCs w:val="22"/>
        </w:rPr>
      </w:pPr>
      <w:r w:rsidRPr="00243141">
        <w:rPr>
          <w:rFonts w:asciiTheme="minorHAnsi" w:hAnsiTheme="minorHAnsi" w:cstheme="minorHAnsi"/>
          <w:b/>
          <w:iCs/>
          <w:sz w:val="22"/>
          <w:szCs w:val="22"/>
        </w:rPr>
        <w:t>Content Standards</w:t>
      </w:r>
    </w:p>
    <w:p w14:paraId="2EEF5BA5" w14:textId="33420E10" w:rsidR="00D16FEC" w:rsidRPr="00243141" w:rsidRDefault="00D16FEC" w:rsidP="00DC57C9">
      <w:pPr>
        <w:kinsoku w:val="0"/>
        <w:overflowPunct w:val="0"/>
        <w:textAlignment w:val="baseline"/>
        <w:rPr>
          <w:rFonts w:asciiTheme="minorHAnsi" w:hAnsiTheme="minorHAnsi" w:cstheme="minorHAnsi"/>
          <w:color w:val="000000" w:themeColor="text1"/>
          <w:kern w:val="24"/>
          <w:sz w:val="22"/>
          <w:szCs w:val="22"/>
        </w:rPr>
      </w:pPr>
      <w:r w:rsidRPr="00243141">
        <w:rPr>
          <w:rFonts w:asciiTheme="minorHAnsi" w:hAnsiTheme="minorHAnsi" w:cstheme="minorHAnsi"/>
          <w:color w:val="000000" w:themeColor="text1"/>
          <w:kern w:val="24"/>
          <w:sz w:val="22"/>
          <w:szCs w:val="22"/>
        </w:rPr>
        <w:t>As an important contributor to our accredited education, we would like to enlist your help to ensure that educational content is fair and balanced</w:t>
      </w:r>
      <w:r w:rsidR="00E7651A" w:rsidRPr="00243141">
        <w:rPr>
          <w:rFonts w:asciiTheme="minorHAnsi" w:hAnsiTheme="minorHAnsi" w:cstheme="minorHAnsi"/>
          <w:color w:val="000000" w:themeColor="text1"/>
          <w:kern w:val="24"/>
          <w:sz w:val="22"/>
          <w:szCs w:val="22"/>
        </w:rPr>
        <w:t xml:space="preserve"> </w:t>
      </w:r>
      <w:r w:rsidRPr="00243141">
        <w:rPr>
          <w:rFonts w:asciiTheme="minorHAnsi" w:hAnsiTheme="minorHAnsi" w:cstheme="minorHAnsi"/>
          <w:color w:val="000000" w:themeColor="text1"/>
          <w:kern w:val="24"/>
          <w:sz w:val="22"/>
          <w:szCs w:val="22"/>
        </w:rPr>
        <w:t>and that any clinical content presented supports safe, effective patient care. This includes the expectations that:</w:t>
      </w:r>
    </w:p>
    <w:p w14:paraId="2F9BA195" w14:textId="77777777" w:rsidR="00D16FEC" w:rsidRPr="00243141" w:rsidRDefault="00D16FEC" w:rsidP="00DC57C9">
      <w:pPr>
        <w:pStyle w:val="ListParagraph"/>
        <w:widowControl/>
        <w:numPr>
          <w:ilvl w:val="0"/>
          <w:numId w:val="8"/>
        </w:numPr>
        <w:kinsoku w:val="0"/>
        <w:overflowPunct w:val="0"/>
        <w:textAlignment w:val="baseline"/>
        <w:rPr>
          <w:rFonts w:asciiTheme="minorHAnsi" w:hAnsiTheme="minorHAnsi" w:cstheme="minorHAnsi"/>
          <w:color w:val="000000" w:themeColor="text1"/>
          <w:kern w:val="24"/>
          <w:sz w:val="22"/>
          <w:szCs w:val="22"/>
        </w:rPr>
      </w:pPr>
      <w:r w:rsidRPr="00243141">
        <w:rPr>
          <w:rFonts w:asciiTheme="minorHAnsi" w:hAnsiTheme="minorHAnsi" w:cstheme="minorHAnsi"/>
          <w:color w:val="000000" w:themeColor="text1"/>
          <w:kern w:val="24"/>
          <w:sz w:val="22"/>
          <w:szCs w:val="22"/>
        </w:rPr>
        <w:t>All recommendations for patient care in accredited continuing education must be based on current science, evidence, and clinical reasoning, while giving a fair and balanced view of diagnostic and therapeutic options.</w:t>
      </w:r>
    </w:p>
    <w:p w14:paraId="0092A667" w14:textId="77777777" w:rsidR="00D16FEC" w:rsidRPr="00243141" w:rsidRDefault="00D16FEC" w:rsidP="00DC57C9">
      <w:pPr>
        <w:pStyle w:val="ListParagraph"/>
        <w:widowControl/>
        <w:numPr>
          <w:ilvl w:val="0"/>
          <w:numId w:val="8"/>
        </w:numPr>
        <w:kinsoku w:val="0"/>
        <w:overflowPunct w:val="0"/>
        <w:textAlignment w:val="baseline"/>
        <w:rPr>
          <w:rFonts w:asciiTheme="minorHAnsi" w:hAnsiTheme="minorHAnsi" w:cstheme="minorHAnsi"/>
          <w:color w:val="000000" w:themeColor="text1"/>
          <w:kern w:val="24"/>
          <w:sz w:val="22"/>
          <w:szCs w:val="22"/>
        </w:rPr>
      </w:pPr>
      <w:r w:rsidRPr="00243141">
        <w:rPr>
          <w:rFonts w:asciiTheme="minorHAnsi" w:hAnsiTheme="minorHAnsi" w:cstheme="minorHAnsi"/>
          <w:color w:val="000000" w:themeColor="text1"/>
          <w:kern w:val="24"/>
          <w:sz w:val="22"/>
          <w:szCs w:val="22"/>
        </w:rPr>
        <w:t>All scientific research referred to, reported, or used in accredited education in support or justification of a patient care recommendation must conform to the generally accepted standards of experimental design, data collection, analysis, and interpretation.</w:t>
      </w:r>
    </w:p>
    <w:p w14:paraId="150665A8" w14:textId="77777777" w:rsidR="00D16FEC" w:rsidRPr="00243141" w:rsidRDefault="00D16FEC" w:rsidP="00DC57C9">
      <w:pPr>
        <w:pStyle w:val="ListParagraph"/>
        <w:widowControl/>
        <w:numPr>
          <w:ilvl w:val="0"/>
          <w:numId w:val="8"/>
        </w:numPr>
        <w:kinsoku w:val="0"/>
        <w:overflowPunct w:val="0"/>
        <w:textAlignment w:val="baseline"/>
        <w:rPr>
          <w:rFonts w:asciiTheme="minorHAnsi" w:hAnsiTheme="minorHAnsi" w:cstheme="minorHAnsi"/>
          <w:color w:val="000000" w:themeColor="text1"/>
          <w:kern w:val="24"/>
          <w:sz w:val="22"/>
          <w:szCs w:val="22"/>
        </w:rPr>
      </w:pPr>
      <w:r w:rsidRPr="00243141">
        <w:rPr>
          <w:rFonts w:asciiTheme="minorHAnsi" w:hAnsiTheme="minorHAnsi" w:cstheme="minorHAnsi"/>
          <w:color w:val="000000" w:themeColor="text1"/>
          <w:kern w:val="24"/>
          <w:sz w:val="22"/>
          <w:szCs w:val="22"/>
        </w:rPr>
        <w:t xml:space="preserve">Although accredited continuing education is an appropriate place to discuss, debate, and explore new and evolving topics, these areas need to be clearly identified as such within the program and individual presentations. It is the responsibility of accredited providers to facilitate engagement with these topics without advocating for, or promoting, practices that are not, or not </w:t>
      </w:r>
      <w:proofErr w:type="gramStart"/>
      <w:r w:rsidRPr="00243141">
        <w:rPr>
          <w:rFonts w:asciiTheme="minorHAnsi" w:hAnsiTheme="minorHAnsi" w:cstheme="minorHAnsi"/>
          <w:color w:val="000000" w:themeColor="text1"/>
          <w:kern w:val="24"/>
          <w:sz w:val="22"/>
          <w:szCs w:val="22"/>
        </w:rPr>
        <w:t>yet,</w:t>
      </w:r>
      <w:proofErr w:type="gramEnd"/>
      <w:r w:rsidRPr="00243141">
        <w:rPr>
          <w:rFonts w:asciiTheme="minorHAnsi" w:hAnsiTheme="minorHAnsi" w:cstheme="minorHAnsi"/>
          <w:color w:val="000000" w:themeColor="text1"/>
          <w:kern w:val="24"/>
          <w:sz w:val="22"/>
          <w:szCs w:val="22"/>
        </w:rPr>
        <w:t xml:space="preserve"> adequately based on current science, evidence, and clinical reasoning.</w:t>
      </w:r>
    </w:p>
    <w:p w14:paraId="201ACDD1" w14:textId="77777777" w:rsidR="00E7651A" w:rsidRPr="00243141" w:rsidRDefault="00E7651A" w:rsidP="00DC57C9">
      <w:pPr>
        <w:rPr>
          <w:rFonts w:asciiTheme="minorHAnsi" w:hAnsiTheme="minorHAnsi" w:cstheme="minorHAnsi"/>
          <w:color w:val="000000" w:themeColor="text1"/>
          <w:kern w:val="24"/>
          <w:sz w:val="22"/>
          <w:szCs w:val="22"/>
        </w:rPr>
      </w:pPr>
    </w:p>
    <w:p w14:paraId="7DB24792" w14:textId="757B8E9B" w:rsidR="00D16FEC" w:rsidRPr="00243141" w:rsidRDefault="00D16FEC" w:rsidP="00DC57C9">
      <w:pPr>
        <w:rPr>
          <w:rFonts w:asciiTheme="minorHAnsi" w:hAnsiTheme="minorHAnsi" w:cstheme="minorHAnsi"/>
          <w:sz w:val="22"/>
          <w:szCs w:val="22"/>
        </w:rPr>
      </w:pPr>
      <w:r w:rsidRPr="00243141">
        <w:rPr>
          <w:rFonts w:asciiTheme="minorHAnsi" w:hAnsiTheme="minorHAnsi" w:cstheme="minorHAnsi"/>
          <w:color w:val="000000" w:themeColor="text1"/>
          <w:kern w:val="24"/>
          <w:sz w:val="22"/>
          <w:szCs w:val="22"/>
        </w:rPr>
        <w:t>Content cannot be included in accredited education if it advocates for unscientific approaches to diagnosis or therapy, or if the education promotes recommendations, treatment, or manners of practicing healthcare that are determined to have risks or dangers that outweigh the benefits or are known to be ineffective in the treatment of patients</w:t>
      </w:r>
    </w:p>
    <w:p w14:paraId="34457189" w14:textId="620E3AB5" w:rsidR="001A1158" w:rsidRPr="00243141" w:rsidRDefault="001A1158" w:rsidP="00F0538E">
      <w:pPr>
        <w:rPr>
          <w:rFonts w:asciiTheme="minorHAnsi" w:hAnsiTheme="minorHAnsi" w:cstheme="minorHAnsi"/>
          <w:sz w:val="22"/>
          <w:szCs w:val="22"/>
        </w:rPr>
      </w:pPr>
    </w:p>
    <w:p w14:paraId="7A5F444B" w14:textId="2D0513A6" w:rsidR="008859AE" w:rsidRPr="00243141" w:rsidRDefault="008859AE" w:rsidP="00F0538E">
      <w:pPr>
        <w:ind w:left="720" w:hanging="720"/>
        <w:rPr>
          <w:rFonts w:asciiTheme="minorHAnsi" w:hAnsiTheme="minorHAnsi" w:cstheme="minorHAnsi"/>
          <w:b/>
          <w:iCs/>
          <w:sz w:val="22"/>
          <w:szCs w:val="22"/>
        </w:rPr>
      </w:pPr>
      <w:r w:rsidRPr="00243141">
        <w:rPr>
          <w:rFonts w:asciiTheme="minorHAnsi" w:hAnsiTheme="minorHAnsi" w:cstheme="minorHAnsi"/>
          <w:b/>
          <w:iCs/>
          <w:sz w:val="22"/>
          <w:szCs w:val="22"/>
        </w:rPr>
        <w:t>Participant Evaluations</w:t>
      </w:r>
    </w:p>
    <w:p w14:paraId="7B6A3553" w14:textId="00936ED2" w:rsidR="008859AE" w:rsidRPr="00243141" w:rsidRDefault="008859AE" w:rsidP="00F0538E">
      <w:pPr>
        <w:pStyle w:val="BodyText"/>
        <w:spacing w:line="240" w:lineRule="auto"/>
        <w:rPr>
          <w:rFonts w:asciiTheme="minorHAnsi" w:hAnsiTheme="minorHAnsi" w:cstheme="minorHAnsi"/>
          <w:sz w:val="22"/>
          <w:szCs w:val="22"/>
        </w:rPr>
      </w:pPr>
      <w:r w:rsidRPr="00243141">
        <w:rPr>
          <w:rFonts w:asciiTheme="minorHAnsi" w:hAnsiTheme="minorHAnsi" w:cstheme="minorHAnsi"/>
          <w:sz w:val="22"/>
          <w:szCs w:val="22"/>
        </w:rPr>
        <w:t>It is the policy of P</w:t>
      </w:r>
      <w:r w:rsidR="008A67AE">
        <w:rPr>
          <w:rFonts w:asciiTheme="minorHAnsi" w:hAnsiTheme="minorHAnsi" w:cstheme="minorHAnsi"/>
          <w:sz w:val="22"/>
          <w:szCs w:val="22"/>
        </w:rPr>
        <w:t>artners</w:t>
      </w:r>
      <w:r w:rsidRPr="00243141">
        <w:rPr>
          <w:rFonts w:asciiTheme="minorHAnsi" w:hAnsiTheme="minorHAnsi" w:cstheme="minorHAnsi"/>
          <w:sz w:val="22"/>
          <w:szCs w:val="22"/>
        </w:rPr>
        <w:t xml:space="preserve"> to conduct post-activity evaluations. These evaluations ask participants to evaluate: 1) the appropriateness of the educational content to their clinical practice; 2) whether the educational content satisfied the stated objectives; 3) whether they intend to make any changes in practice; and 4) whether there was any evidence of commercial bias. The results of these evaluations are shared with faculty and are used to plan future educational activities.</w:t>
      </w:r>
    </w:p>
    <w:p w14:paraId="583D46F8" w14:textId="77777777" w:rsidR="00C72C76" w:rsidRPr="00243141" w:rsidRDefault="00C72C76" w:rsidP="00F0538E">
      <w:pPr>
        <w:rPr>
          <w:rFonts w:asciiTheme="minorHAnsi" w:hAnsiTheme="minorHAnsi" w:cstheme="minorHAnsi"/>
          <w:sz w:val="22"/>
          <w:szCs w:val="22"/>
        </w:rPr>
      </w:pPr>
    </w:p>
    <w:p w14:paraId="45D785EA" w14:textId="38B1D607" w:rsidR="008976FF" w:rsidRPr="00243141" w:rsidRDefault="008976FF" w:rsidP="00F0538E">
      <w:pPr>
        <w:rPr>
          <w:rFonts w:asciiTheme="minorHAnsi" w:hAnsiTheme="minorHAnsi" w:cstheme="minorHAnsi"/>
          <w:b/>
          <w:bCs/>
          <w:sz w:val="22"/>
          <w:szCs w:val="22"/>
        </w:rPr>
      </w:pPr>
      <w:r w:rsidRPr="00243141">
        <w:rPr>
          <w:rFonts w:asciiTheme="minorHAnsi" w:hAnsiTheme="minorHAnsi" w:cstheme="minorHAnsi"/>
          <w:b/>
          <w:bCs/>
          <w:sz w:val="22"/>
          <w:szCs w:val="22"/>
        </w:rPr>
        <w:t>Honorarium and Reimbursement</w:t>
      </w:r>
    </w:p>
    <w:p w14:paraId="0AF77363" w14:textId="0CFF219A" w:rsidR="00527F54" w:rsidRPr="00243141" w:rsidRDefault="00527F54" w:rsidP="00527F54">
      <w:pPr>
        <w:rPr>
          <w:rFonts w:asciiTheme="minorHAnsi" w:eastAsia="Batang" w:hAnsiTheme="minorHAnsi" w:cstheme="minorHAnsi"/>
          <w:sz w:val="22"/>
          <w:szCs w:val="22"/>
          <w:lang w:eastAsia="ko-KR"/>
        </w:rPr>
      </w:pPr>
      <w:bookmarkStart w:id="0" w:name="_Hlk508015379"/>
      <w:r w:rsidRPr="00243141">
        <w:rPr>
          <w:rFonts w:asciiTheme="minorHAnsi" w:hAnsiTheme="minorHAnsi" w:cstheme="minorHAnsi"/>
          <w:sz w:val="22"/>
          <w:szCs w:val="22"/>
        </w:rPr>
        <w:t xml:space="preserve">We are pleased to offer you an honorarium </w:t>
      </w:r>
      <w:r>
        <w:rPr>
          <w:rFonts w:asciiTheme="minorHAnsi" w:hAnsiTheme="minorHAnsi" w:cstheme="minorHAnsi"/>
          <w:sz w:val="22"/>
          <w:szCs w:val="22"/>
        </w:rPr>
        <w:t xml:space="preserve">for the </w:t>
      </w:r>
      <w:r>
        <w:rPr>
          <w:rFonts w:asciiTheme="minorHAnsi" w:hAnsiTheme="minorHAnsi" w:cstheme="minorHAnsi"/>
          <w:sz w:val="22"/>
          <w:szCs w:val="22"/>
        </w:rPr>
        <w:t>webinar and blogs</w:t>
      </w:r>
      <w:r>
        <w:rPr>
          <w:rFonts w:asciiTheme="minorHAnsi" w:hAnsiTheme="minorHAnsi" w:cstheme="minorHAnsi"/>
          <w:sz w:val="22"/>
          <w:szCs w:val="22"/>
        </w:rPr>
        <w:t>, used to market the courses, as quoted in your Speaker Contract.</w:t>
      </w:r>
      <w:r>
        <w:rPr>
          <w:rFonts w:asciiTheme="minorHAnsi" w:hAnsiTheme="minorHAnsi" w:cstheme="minorHAnsi"/>
          <w:sz w:val="22"/>
          <w:szCs w:val="22"/>
        </w:rPr>
        <w:t xml:space="preserve"> </w:t>
      </w:r>
      <w:r>
        <w:rPr>
          <w:rFonts w:asciiTheme="minorHAnsi" w:hAnsiTheme="minorHAnsi" w:cstheme="minorHAnsi"/>
          <w:sz w:val="22"/>
          <w:szCs w:val="22"/>
        </w:rPr>
        <w:t>I</w:t>
      </w:r>
      <w:r w:rsidRPr="00243141">
        <w:rPr>
          <w:rFonts w:asciiTheme="minorHAnsi" w:hAnsiTheme="minorHAnsi" w:cstheme="minorHAnsi"/>
          <w:sz w:val="22"/>
          <w:szCs w:val="22"/>
        </w:rPr>
        <w:t xml:space="preserve">f applicable, </w:t>
      </w:r>
      <w:r w:rsidRPr="00243141">
        <w:rPr>
          <w:rFonts w:asciiTheme="minorHAnsi" w:eastAsia="Batang" w:hAnsiTheme="minorHAnsi" w:cstheme="minorHAnsi"/>
          <w:sz w:val="22"/>
          <w:szCs w:val="22"/>
          <w:lang w:eastAsia="ko-KR"/>
        </w:rPr>
        <w:t xml:space="preserve">to offer reimbursement of program-related expenses for your role as a </w:t>
      </w:r>
      <w:proofErr w:type="spellStart"/>
      <w:r w:rsidRPr="00243141">
        <w:rPr>
          <w:rFonts w:asciiTheme="minorHAnsi" w:eastAsia="Batang" w:hAnsiTheme="minorHAnsi" w:cstheme="minorHAnsi"/>
          <w:sz w:val="22"/>
          <w:szCs w:val="22"/>
          <w:lang w:eastAsia="ko-KR"/>
        </w:rPr>
        <w:t>faculy</w:t>
      </w:r>
      <w:proofErr w:type="spellEnd"/>
      <w:r w:rsidRPr="00243141">
        <w:rPr>
          <w:rFonts w:asciiTheme="minorHAnsi" w:eastAsia="Batang" w:hAnsiTheme="minorHAnsi" w:cstheme="minorHAnsi"/>
          <w:sz w:val="22"/>
          <w:szCs w:val="22"/>
          <w:lang w:eastAsia="ko-KR"/>
        </w:rPr>
        <w:t xml:space="preserve"> member for any meals on the day of the activity, hotel stay, coach-class airfare, and ground transportation.</w:t>
      </w:r>
    </w:p>
    <w:p w14:paraId="5212668B" w14:textId="77777777" w:rsidR="00527F54" w:rsidRPr="00243141" w:rsidRDefault="00527F54" w:rsidP="00527F54">
      <w:pPr>
        <w:rPr>
          <w:rFonts w:asciiTheme="minorHAnsi" w:eastAsia="Batang" w:hAnsiTheme="minorHAnsi" w:cstheme="minorHAnsi"/>
          <w:iCs/>
          <w:sz w:val="22"/>
          <w:szCs w:val="22"/>
          <w:lang w:eastAsia="ko-KR"/>
        </w:rPr>
      </w:pPr>
    </w:p>
    <w:bookmarkEnd w:id="0"/>
    <w:p w14:paraId="26F4CA93" w14:textId="77777777" w:rsidR="00527F54" w:rsidRPr="00243141" w:rsidRDefault="00527F54" w:rsidP="00527F54">
      <w:pPr>
        <w:rPr>
          <w:rFonts w:asciiTheme="minorHAnsi" w:hAnsiTheme="minorHAnsi" w:cstheme="minorHAnsi"/>
          <w:sz w:val="22"/>
          <w:szCs w:val="22"/>
        </w:rPr>
      </w:pPr>
      <w:r w:rsidRPr="00243141">
        <w:rPr>
          <w:rFonts w:asciiTheme="minorHAnsi" w:hAnsiTheme="minorHAnsi" w:cstheme="minorHAnsi"/>
          <w:sz w:val="22"/>
          <w:szCs w:val="22"/>
        </w:rPr>
        <w:t>As faculty, you may not accept any additional payment or assistance for your work in this activity from any ineligible company.</w:t>
      </w:r>
    </w:p>
    <w:p w14:paraId="1D9CCA36" w14:textId="77777777" w:rsidR="003F1681" w:rsidRPr="00243141" w:rsidRDefault="003F1681" w:rsidP="00F0538E">
      <w:pPr>
        <w:rPr>
          <w:rFonts w:asciiTheme="minorHAnsi" w:hAnsiTheme="minorHAnsi" w:cstheme="minorHAnsi"/>
          <w:sz w:val="22"/>
          <w:szCs w:val="22"/>
        </w:rPr>
      </w:pPr>
    </w:p>
    <w:p w14:paraId="39013812" w14:textId="77777777" w:rsidR="008976FF" w:rsidRPr="00243141" w:rsidRDefault="008976FF" w:rsidP="00F0538E">
      <w:pPr>
        <w:autoSpaceDE w:val="0"/>
        <w:autoSpaceDN w:val="0"/>
        <w:adjustRightInd w:val="0"/>
        <w:rPr>
          <w:rFonts w:asciiTheme="minorHAnsi" w:hAnsiTheme="minorHAnsi" w:cstheme="minorHAnsi"/>
          <w:sz w:val="22"/>
          <w:szCs w:val="22"/>
        </w:rPr>
      </w:pPr>
      <w:r w:rsidRPr="00243141">
        <w:rPr>
          <w:rFonts w:asciiTheme="minorHAnsi" w:hAnsiTheme="minorHAnsi" w:cstheme="minorHAnsi"/>
          <w:b/>
          <w:bCs/>
          <w:sz w:val="22"/>
          <w:szCs w:val="22"/>
        </w:rPr>
        <w:t>Physician Payment Sunshine Act (“Sunshine Act”)</w:t>
      </w:r>
    </w:p>
    <w:p w14:paraId="7183D004" w14:textId="1591B224" w:rsidR="008976FF" w:rsidRPr="00243141" w:rsidRDefault="008976FF" w:rsidP="00F0538E">
      <w:pPr>
        <w:rPr>
          <w:rFonts w:asciiTheme="minorHAnsi" w:hAnsiTheme="minorHAnsi" w:cstheme="minorHAnsi"/>
          <w:sz w:val="22"/>
          <w:szCs w:val="22"/>
        </w:rPr>
      </w:pPr>
      <w:r w:rsidRPr="00243141">
        <w:rPr>
          <w:rFonts w:asciiTheme="minorHAnsi" w:hAnsiTheme="minorHAnsi" w:cstheme="minorHAnsi"/>
          <w:sz w:val="22"/>
          <w:szCs w:val="22"/>
        </w:rPr>
        <w:t>Under the terms of the Open Payments provisions of the Affordable Care Act and the accompanying regulations from the Centers for Medicare/Medicaid Services (CMS), applicable manufacture</w:t>
      </w:r>
      <w:r w:rsidR="007C32AD" w:rsidRPr="00243141">
        <w:rPr>
          <w:rFonts w:asciiTheme="minorHAnsi" w:hAnsiTheme="minorHAnsi" w:cstheme="minorHAnsi"/>
          <w:sz w:val="22"/>
          <w:szCs w:val="22"/>
        </w:rPr>
        <w:t>r</w:t>
      </w:r>
      <w:r w:rsidRPr="00243141">
        <w:rPr>
          <w:rFonts w:asciiTheme="minorHAnsi" w:hAnsiTheme="minorHAnsi" w:cstheme="minorHAnsi"/>
          <w:sz w:val="22"/>
          <w:szCs w:val="22"/>
        </w:rPr>
        <w:t>s may require reporting of certain transfers of value provided to physicians (currently defined in the law as an MD, DO, Dentist, Dental Surgeon, Optometrist, Chiropractor, or Podiatrist). Please note that supporters may implement policies whereby they consider honoraria and, in some cases, travel and expenses reportable as a “transfer of value” payment under the Physician Payments Sunshine Act (PPSA)</w:t>
      </w:r>
      <w:r w:rsidR="000D4CD7">
        <w:rPr>
          <w:rFonts w:asciiTheme="minorHAnsi" w:hAnsiTheme="minorHAnsi" w:cstheme="minorHAnsi"/>
          <w:sz w:val="22"/>
          <w:szCs w:val="22"/>
        </w:rPr>
        <w:t>. P</w:t>
      </w:r>
      <w:r w:rsidR="008A67AE">
        <w:rPr>
          <w:rFonts w:asciiTheme="minorHAnsi" w:hAnsiTheme="minorHAnsi" w:cstheme="minorHAnsi"/>
          <w:sz w:val="22"/>
          <w:szCs w:val="22"/>
        </w:rPr>
        <w:t>artners</w:t>
      </w:r>
      <w:r w:rsidRPr="00243141">
        <w:rPr>
          <w:rFonts w:asciiTheme="minorHAnsi" w:hAnsiTheme="minorHAnsi" w:cstheme="minorHAnsi"/>
          <w:sz w:val="22"/>
          <w:szCs w:val="22"/>
        </w:rPr>
        <w:t xml:space="preserve"> may be required to report your name and the amount of your honorarium and, in some cases, your travel and expenses to the supporter(s) after the conclusion of this program.</w:t>
      </w:r>
    </w:p>
    <w:sectPr w:rsidR="008976FF" w:rsidRPr="00243141" w:rsidSect="00E20DC4">
      <w:footerReference w:type="default" r:id="rId12"/>
      <w:headerReference w:type="first" r:id="rId13"/>
      <w:footerReference w:type="first" r:id="rId14"/>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43E1" w14:textId="77777777" w:rsidR="008C4123" w:rsidRDefault="008C4123" w:rsidP="008976FF">
      <w:r>
        <w:separator/>
      </w:r>
    </w:p>
  </w:endnote>
  <w:endnote w:type="continuationSeparator" w:id="0">
    <w:p w14:paraId="27BD7928" w14:textId="77777777" w:rsidR="008C4123" w:rsidRDefault="008C4123" w:rsidP="008976FF">
      <w:r>
        <w:continuationSeparator/>
      </w:r>
    </w:p>
  </w:endnote>
  <w:endnote w:type="continuationNotice" w:id="1">
    <w:p w14:paraId="186A7AB7" w14:textId="77777777" w:rsidR="008C4123" w:rsidRDefault="008C4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93A1" w14:textId="73417BA1" w:rsidR="00EB05D1" w:rsidRPr="0072328F" w:rsidRDefault="00EB05D1" w:rsidP="0072328F">
    <w:pPr>
      <w:pStyle w:val="Footer"/>
      <w:jc w:val="center"/>
      <w:rPr>
        <w:rFonts w:ascii="Segoe UI" w:hAnsi="Segoe UI" w:cs="Segoe UI"/>
        <w:szCs w:val="24"/>
      </w:rPr>
    </w:pPr>
    <w:r w:rsidRPr="0072328F">
      <w:rPr>
        <w:rFonts w:ascii="Segoe UI" w:hAnsi="Segoe UI" w:cs="Segoe UI"/>
        <w:szCs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AF91" w14:textId="77777777" w:rsidR="008C0132" w:rsidRDefault="008C0132" w:rsidP="0036364A">
    <w:pPr>
      <w:jc w:val="center"/>
      <w:rPr>
        <w:rFonts w:ascii="Segoe UI" w:hAnsi="Segoe UI" w:cs="Segoe UI"/>
        <w:color w:val="455560"/>
        <w:lang w:val="fr-FR"/>
      </w:rPr>
    </w:pPr>
  </w:p>
  <w:p w14:paraId="405B8C27" w14:textId="04FB7BD1" w:rsidR="0036364A" w:rsidRPr="009E62AB" w:rsidRDefault="0036364A" w:rsidP="0072328F">
    <w:pPr>
      <w:tabs>
        <w:tab w:val="left" w:pos="3330"/>
      </w:tabs>
      <w:jc w:val="center"/>
      <w:rPr>
        <w:rFonts w:ascii="Segoe UI" w:hAnsi="Segoe UI" w:cs="Segoe UI"/>
        <w:color w:val="455560"/>
        <w:lang w:val="fr-FR"/>
      </w:rPr>
    </w:pPr>
    <w:r w:rsidRPr="009E62AB">
      <w:rPr>
        <w:rFonts w:ascii="Segoe UI" w:hAnsi="Segoe UI" w:cs="Segoe UI"/>
        <w:color w:val="455560"/>
        <w:lang w:val="fr-FR"/>
      </w:rPr>
      <w:t>12001 Sunrise Valley Drive   |   Suite 300   |   Reston, VA 20191</w:t>
    </w:r>
  </w:p>
  <w:p w14:paraId="3CD58942" w14:textId="4B1D5BE7" w:rsidR="00ED64BA" w:rsidRPr="0036364A" w:rsidRDefault="00ED64BA" w:rsidP="00363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0461" w14:textId="77777777" w:rsidR="008C4123" w:rsidRDefault="008C4123" w:rsidP="008976FF">
      <w:r>
        <w:separator/>
      </w:r>
    </w:p>
  </w:footnote>
  <w:footnote w:type="continuationSeparator" w:id="0">
    <w:p w14:paraId="0779AA89" w14:textId="77777777" w:rsidR="008C4123" w:rsidRDefault="008C4123" w:rsidP="008976FF">
      <w:r>
        <w:continuationSeparator/>
      </w:r>
    </w:p>
  </w:footnote>
  <w:footnote w:type="continuationNotice" w:id="1">
    <w:p w14:paraId="6BD66CD9" w14:textId="77777777" w:rsidR="008C4123" w:rsidRDefault="008C4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960"/>
    </w:tblGrid>
    <w:tr w:rsidR="008976FF" w:rsidRPr="00120A37" w14:paraId="389819CA" w14:textId="77777777" w:rsidTr="002D2D4D">
      <w:tc>
        <w:tcPr>
          <w:tcW w:w="6840" w:type="dxa"/>
          <w:vMerge w:val="restart"/>
          <w:vAlign w:val="center"/>
        </w:tcPr>
        <w:p w14:paraId="20514F02" w14:textId="52F49F72" w:rsidR="008976FF" w:rsidRPr="00120A37" w:rsidRDefault="008A67AE" w:rsidP="008976FF">
          <w:pPr>
            <w:pStyle w:val="Header"/>
            <w:tabs>
              <w:tab w:val="right" w:pos="8460"/>
            </w:tabs>
            <w:rPr>
              <w:rFonts w:ascii="Segoe UI" w:hAnsi="Segoe UI" w:cs="Segoe UI"/>
              <w:b/>
              <w:color w:val="002060"/>
              <w:sz w:val="17"/>
              <w:szCs w:val="17"/>
            </w:rPr>
          </w:pPr>
          <w:r>
            <w:rPr>
              <w:noProof/>
              <w:snapToGrid/>
            </w:rPr>
            <w:drawing>
              <wp:inline distT="0" distB="0" distL="0" distR="0" wp14:anchorId="0D95C849" wp14:editId="46315343">
                <wp:extent cx="2393950" cy="482600"/>
                <wp:effectExtent l="0" t="0" r="6350" b="12700"/>
                <wp:docPr id="1673079880"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79880" name="Picture 4" descr="A black background with white tex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93950" cy="482600"/>
                        </a:xfrm>
                        <a:prstGeom prst="rect">
                          <a:avLst/>
                        </a:prstGeom>
                        <a:noFill/>
                        <a:ln>
                          <a:noFill/>
                        </a:ln>
                      </pic:spPr>
                    </pic:pic>
                  </a:graphicData>
                </a:graphic>
              </wp:inline>
            </w:drawing>
          </w:r>
        </w:p>
      </w:tc>
      <w:tc>
        <w:tcPr>
          <w:tcW w:w="3960" w:type="dxa"/>
        </w:tcPr>
        <w:p w14:paraId="6A50CB67" w14:textId="4FDD6858" w:rsidR="008976FF" w:rsidRPr="00120A37" w:rsidRDefault="008976FF" w:rsidP="008976FF">
          <w:pPr>
            <w:pStyle w:val="Header"/>
            <w:tabs>
              <w:tab w:val="right" w:pos="8460"/>
            </w:tabs>
            <w:rPr>
              <w:rFonts w:ascii="Segoe UI" w:hAnsi="Segoe UI" w:cs="Segoe UI"/>
              <w:b/>
              <w:color w:val="293241"/>
              <w:sz w:val="17"/>
              <w:szCs w:val="17"/>
            </w:rPr>
          </w:pPr>
        </w:p>
      </w:tc>
    </w:tr>
    <w:tr w:rsidR="008976FF" w:rsidRPr="00120A37" w14:paraId="384948E7" w14:textId="77777777" w:rsidTr="002D2D4D">
      <w:tc>
        <w:tcPr>
          <w:tcW w:w="6840" w:type="dxa"/>
          <w:vMerge/>
        </w:tcPr>
        <w:p w14:paraId="3E223F63" w14:textId="77777777" w:rsidR="008976FF" w:rsidRPr="00120A37" w:rsidRDefault="008976FF" w:rsidP="008976FF">
          <w:pPr>
            <w:pStyle w:val="Header"/>
            <w:tabs>
              <w:tab w:val="right" w:pos="8460"/>
            </w:tabs>
            <w:rPr>
              <w:rFonts w:ascii="Segoe UI" w:hAnsi="Segoe UI" w:cs="Segoe UI"/>
              <w:b/>
              <w:color w:val="002060"/>
              <w:sz w:val="17"/>
              <w:szCs w:val="17"/>
            </w:rPr>
          </w:pPr>
        </w:p>
      </w:tc>
      <w:tc>
        <w:tcPr>
          <w:tcW w:w="3960" w:type="dxa"/>
        </w:tcPr>
        <w:p w14:paraId="1CA31AD6" w14:textId="41CBC9E1" w:rsidR="008976FF" w:rsidRPr="002D2D4D" w:rsidRDefault="008976FF" w:rsidP="008976FF">
          <w:pPr>
            <w:pStyle w:val="Header"/>
            <w:tabs>
              <w:tab w:val="right" w:pos="8460"/>
            </w:tabs>
            <w:rPr>
              <w:rFonts w:ascii="Segoe UI" w:hAnsi="Segoe UI" w:cs="Segoe UI"/>
              <w:bCs/>
              <w:color w:val="808080"/>
              <w:sz w:val="17"/>
              <w:szCs w:val="17"/>
              <w:lang w:val="fr-FR"/>
            </w:rPr>
          </w:pPr>
        </w:p>
      </w:tc>
    </w:tr>
  </w:tbl>
  <w:p w14:paraId="2C82E69A" w14:textId="77777777" w:rsidR="008976FF" w:rsidRDefault="00897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6B52"/>
    <w:multiLevelType w:val="hybridMultilevel"/>
    <w:tmpl w:val="E67CB436"/>
    <w:lvl w:ilvl="0" w:tplc="1A2A0B4E">
      <w:start w:val="1"/>
      <w:numFmt w:val="bullet"/>
      <w:lvlText w:val="v"/>
      <w:lvlJc w:val="left"/>
      <w:pPr>
        <w:tabs>
          <w:tab w:val="num" w:pos="1260"/>
        </w:tabs>
        <w:ind w:left="1260" w:hanging="360"/>
      </w:pPr>
      <w:rPr>
        <w:rFonts w:ascii="Wingdings" w:hAnsi="Wingdings" w:hint="default"/>
      </w:rPr>
    </w:lvl>
    <w:lvl w:ilvl="1" w:tplc="31981EA2" w:tentative="1">
      <w:start w:val="1"/>
      <w:numFmt w:val="bullet"/>
      <w:lvlText w:val="v"/>
      <w:lvlJc w:val="left"/>
      <w:pPr>
        <w:tabs>
          <w:tab w:val="num" w:pos="1980"/>
        </w:tabs>
        <w:ind w:left="1980" w:hanging="360"/>
      </w:pPr>
      <w:rPr>
        <w:rFonts w:ascii="Wingdings" w:hAnsi="Wingdings" w:hint="default"/>
      </w:rPr>
    </w:lvl>
    <w:lvl w:ilvl="2" w:tplc="735AE74C" w:tentative="1">
      <w:start w:val="1"/>
      <w:numFmt w:val="bullet"/>
      <w:lvlText w:val="v"/>
      <w:lvlJc w:val="left"/>
      <w:pPr>
        <w:tabs>
          <w:tab w:val="num" w:pos="2700"/>
        </w:tabs>
        <w:ind w:left="2700" w:hanging="360"/>
      </w:pPr>
      <w:rPr>
        <w:rFonts w:ascii="Wingdings" w:hAnsi="Wingdings" w:hint="default"/>
      </w:rPr>
    </w:lvl>
    <w:lvl w:ilvl="3" w:tplc="FA7E4CAC" w:tentative="1">
      <w:start w:val="1"/>
      <w:numFmt w:val="bullet"/>
      <w:lvlText w:val="v"/>
      <w:lvlJc w:val="left"/>
      <w:pPr>
        <w:tabs>
          <w:tab w:val="num" w:pos="3420"/>
        </w:tabs>
        <w:ind w:left="3420" w:hanging="360"/>
      </w:pPr>
      <w:rPr>
        <w:rFonts w:ascii="Wingdings" w:hAnsi="Wingdings" w:hint="default"/>
      </w:rPr>
    </w:lvl>
    <w:lvl w:ilvl="4" w:tplc="FB2C9356" w:tentative="1">
      <w:start w:val="1"/>
      <w:numFmt w:val="bullet"/>
      <w:lvlText w:val="v"/>
      <w:lvlJc w:val="left"/>
      <w:pPr>
        <w:tabs>
          <w:tab w:val="num" w:pos="4140"/>
        </w:tabs>
        <w:ind w:left="4140" w:hanging="360"/>
      </w:pPr>
      <w:rPr>
        <w:rFonts w:ascii="Wingdings" w:hAnsi="Wingdings" w:hint="default"/>
      </w:rPr>
    </w:lvl>
    <w:lvl w:ilvl="5" w:tplc="C53ADF7E" w:tentative="1">
      <w:start w:val="1"/>
      <w:numFmt w:val="bullet"/>
      <w:lvlText w:val="v"/>
      <w:lvlJc w:val="left"/>
      <w:pPr>
        <w:tabs>
          <w:tab w:val="num" w:pos="4860"/>
        </w:tabs>
        <w:ind w:left="4860" w:hanging="360"/>
      </w:pPr>
      <w:rPr>
        <w:rFonts w:ascii="Wingdings" w:hAnsi="Wingdings" w:hint="default"/>
      </w:rPr>
    </w:lvl>
    <w:lvl w:ilvl="6" w:tplc="9C5AD4B6" w:tentative="1">
      <w:start w:val="1"/>
      <w:numFmt w:val="bullet"/>
      <w:lvlText w:val="v"/>
      <w:lvlJc w:val="left"/>
      <w:pPr>
        <w:tabs>
          <w:tab w:val="num" w:pos="5580"/>
        </w:tabs>
        <w:ind w:left="5580" w:hanging="360"/>
      </w:pPr>
      <w:rPr>
        <w:rFonts w:ascii="Wingdings" w:hAnsi="Wingdings" w:hint="default"/>
      </w:rPr>
    </w:lvl>
    <w:lvl w:ilvl="7" w:tplc="E330601E" w:tentative="1">
      <w:start w:val="1"/>
      <w:numFmt w:val="bullet"/>
      <w:lvlText w:val="v"/>
      <w:lvlJc w:val="left"/>
      <w:pPr>
        <w:tabs>
          <w:tab w:val="num" w:pos="6300"/>
        </w:tabs>
        <w:ind w:left="6300" w:hanging="360"/>
      </w:pPr>
      <w:rPr>
        <w:rFonts w:ascii="Wingdings" w:hAnsi="Wingdings" w:hint="default"/>
      </w:rPr>
    </w:lvl>
    <w:lvl w:ilvl="8" w:tplc="EE4EE25C" w:tentative="1">
      <w:start w:val="1"/>
      <w:numFmt w:val="bullet"/>
      <w:lvlText w:val="v"/>
      <w:lvlJc w:val="left"/>
      <w:pPr>
        <w:tabs>
          <w:tab w:val="num" w:pos="7020"/>
        </w:tabs>
        <w:ind w:left="7020" w:hanging="360"/>
      </w:pPr>
      <w:rPr>
        <w:rFonts w:ascii="Wingdings" w:hAnsi="Wingdings" w:hint="default"/>
      </w:rPr>
    </w:lvl>
  </w:abstractNum>
  <w:abstractNum w:abstractNumId="1" w15:restartNumberingAfterBreak="0">
    <w:nsid w:val="1F6172D4"/>
    <w:multiLevelType w:val="hybridMultilevel"/>
    <w:tmpl w:val="036EFA76"/>
    <w:lvl w:ilvl="0" w:tplc="14C2C8C4">
      <w:start w:val="1"/>
      <w:numFmt w:val="bullet"/>
      <w:lvlText w:val="ü"/>
      <w:lvlJc w:val="left"/>
      <w:pPr>
        <w:tabs>
          <w:tab w:val="num" w:pos="720"/>
        </w:tabs>
        <w:ind w:left="720" w:hanging="360"/>
      </w:pPr>
      <w:rPr>
        <w:rFonts w:ascii="Wingdings" w:hAnsi="Wingdings" w:hint="default"/>
      </w:rPr>
    </w:lvl>
    <w:lvl w:ilvl="1" w:tplc="958A7CE8" w:tentative="1">
      <w:start w:val="1"/>
      <w:numFmt w:val="bullet"/>
      <w:lvlText w:val="ü"/>
      <w:lvlJc w:val="left"/>
      <w:pPr>
        <w:tabs>
          <w:tab w:val="num" w:pos="1440"/>
        </w:tabs>
        <w:ind w:left="1440" w:hanging="360"/>
      </w:pPr>
      <w:rPr>
        <w:rFonts w:ascii="Wingdings" w:hAnsi="Wingdings" w:hint="default"/>
      </w:rPr>
    </w:lvl>
    <w:lvl w:ilvl="2" w:tplc="5EF66580" w:tentative="1">
      <w:start w:val="1"/>
      <w:numFmt w:val="bullet"/>
      <w:lvlText w:val="ü"/>
      <w:lvlJc w:val="left"/>
      <w:pPr>
        <w:tabs>
          <w:tab w:val="num" w:pos="2160"/>
        </w:tabs>
        <w:ind w:left="2160" w:hanging="360"/>
      </w:pPr>
      <w:rPr>
        <w:rFonts w:ascii="Wingdings" w:hAnsi="Wingdings" w:hint="default"/>
      </w:rPr>
    </w:lvl>
    <w:lvl w:ilvl="3" w:tplc="486AA148" w:tentative="1">
      <w:start w:val="1"/>
      <w:numFmt w:val="bullet"/>
      <w:lvlText w:val="ü"/>
      <w:lvlJc w:val="left"/>
      <w:pPr>
        <w:tabs>
          <w:tab w:val="num" w:pos="2880"/>
        </w:tabs>
        <w:ind w:left="2880" w:hanging="360"/>
      </w:pPr>
      <w:rPr>
        <w:rFonts w:ascii="Wingdings" w:hAnsi="Wingdings" w:hint="default"/>
      </w:rPr>
    </w:lvl>
    <w:lvl w:ilvl="4" w:tplc="B2283B36" w:tentative="1">
      <w:start w:val="1"/>
      <w:numFmt w:val="bullet"/>
      <w:lvlText w:val="ü"/>
      <w:lvlJc w:val="left"/>
      <w:pPr>
        <w:tabs>
          <w:tab w:val="num" w:pos="3600"/>
        </w:tabs>
        <w:ind w:left="3600" w:hanging="360"/>
      </w:pPr>
      <w:rPr>
        <w:rFonts w:ascii="Wingdings" w:hAnsi="Wingdings" w:hint="default"/>
      </w:rPr>
    </w:lvl>
    <w:lvl w:ilvl="5" w:tplc="F1B8BF80" w:tentative="1">
      <w:start w:val="1"/>
      <w:numFmt w:val="bullet"/>
      <w:lvlText w:val="ü"/>
      <w:lvlJc w:val="left"/>
      <w:pPr>
        <w:tabs>
          <w:tab w:val="num" w:pos="4320"/>
        </w:tabs>
        <w:ind w:left="4320" w:hanging="360"/>
      </w:pPr>
      <w:rPr>
        <w:rFonts w:ascii="Wingdings" w:hAnsi="Wingdings" w:hint="default"/>
      </w:rPr>
    </w:lvl>
    <w:lvl w:ilvl="6" w:tplc="4ADE8226" w:tentative="1">
      <w:start w:val="1"/>
      <w:numFmt w:val="bullet"/>
      <w:lvlText w:val="ü"/>
      <w:lvlJc w:val="left"/>
      <w:pPr>
        <w:tabs>
          <w:tab w:val="num" w:pos="5040"/>
        </w:tabs>
        <w:ind w:left="5040" w:hanging="360"/>
      </w:pPr>
      <w:rPr>
        <w:rFonts w:ascii="Wingdings" w:hAnsi="Wingdings" w:hint="default"/>
      </w:rPr>
    </w:lvl>
    <w:lvl w:ilvl="7" w:tplc="62FA7B6E" w:tentative="1">
      <w:start w:val="1"/>
      <w:numFmt w:val="bullet"/>
      <w:lvlText w:val="ü"/>
      <w:lvlJc w:val="left"/>
      <w:pPr>
        <w:tabs>
          <w:tab w:val="num" w:pos="5760"/>
        </w:tabs>
        <w:ind w:left="5760" w:hanging="360"/>
      </w:pPr>
      <w:rPr>
        <w:rFonts w:ascii="Wingdings" w:hAnsi="Wingdings" w:hint="default"/>
      </w:rPr>
    </w:lvl>
    <w:lvl w:ilvl="8" w:tplc="905ED67C" w:tentative="1">
      <w:start w:val="1"/>
      <w:numFmt w:val="bullet"/>
      <w:lvlText w:val="ü"/>
      <w:lvlJc w:val="left"/>
      <w:pPr>
        <w:tabs>
          <w:tab w:val="num" w:pos="6480"/>
        </w:tabs>
        <w:ind w:left="6480" w:hanging="360"/>
      </w:pPr>
      <w:rPr>
        <w:rFonts w:ascii="Wingdings" w:hAnsi="Wingdings" w:hint="default"/>
      </w:rPr>
    </w:lvl>
  </w:abstractNum>
  <w:abstractNum w:abstractNumId="2" w15:restartNumberingAfterBreak="0">
    <w:nsid w:val="20580197"/>
    <w:multiLevelType w:val="hybridMultilevel"/>
    <w:tmpl w:val="BC72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06C7B"/>
    <w:multiLevelType w:val="hybridMultilevel"/>
    <w:tmpl w:val="FFCA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134E1"/>
    <w:multiLevelType w:val="hybridMultilevel"/>
    <w:tmpl w:val="97DA139C"/>
    <w:lvl w:ilvl="0" w:tplc="A70CED90">
      <w:start w:val="1"/>
      <w:numFmt w:val="bullet"/>
      <w:lvlText w:val="ü"/>
      <w:lvlJc w:val="left"/>
      <w:pPr>
        <w:tabs>
          <w:tab w:val="num" w:pos="720"/>
        </w:tabs>
        <w:ind w:left="720" w:hanging="360"/>
      </w:pPr>
      <w:rPr>
        <w:rFonts w:ascii="Wingdings" w:hAnsi="Wingdings" w:hint="default"/>
      </w:rPr>
    </w:lvl>
    <w:lvl w:ilvl="1" w:tplc="68B66690" w:tentative="1">
      <w:start w:val="1"/>
      <w:numFmt w:val="bullet"/>
      <w:lvlText w:val="ü"/>
      <w:lvlJc w:val="left"/>
      <w:pPr>
        <w:tabs>
          <w:tab w:val="num" w:pos="1440"/>
        </w:tabs>
        <w:ind w:left="1440" w:hanging="360"/>
      </w:pPr>
      <w:rPr>
        <w:rFonts w:ascii="Wingdings" w:hAnsi="Wingdings" w:hint="default"/>
      </w:rPr>
    </w:lvl>
    <w:lvl w:ilvl="2" w:tplc="0AEE95D2" w:tentative="1">
      <w:start w:val="1"/>
      <w:numFmt w:val="bullet"/>
      <w:lvlText w:val="ü"/>
      <w:lvlJc w:val="left"/>
      <w:pPr>
        <w:tabs>
          <w:tab w:val="num" w:pos="2160"/>
        </w:tabs>
        <w:ind w:left="2160" w:hanging="360"/>
      </w:pPr>
      <w:rPr>
        <w:rFonts w:ascii="Wingdings" w:hAnsi="Wingdings" w:hint="default"/>
      </w:rPr>
    </w:lvl>
    <w:lvl w:ilvl="3" w:tplc="0A607140" w:tentative="1">
      <w:start w:val="1"/>
      <w:numFmt w:val="bullet"/>
      <w:lvlText w:val="ü"/>
      <w:lvlJc w:val="left"/>
      <w:pPr>
        <w:tabs>
          <w:tab w:val="num" w:pos="2880"/>
        </w:tabs>
        <w:ind w:left="2880" w:hanging="360"/>
      </w:pPr>
      <w:rPr>
        <w:rFonts w:ascii="Wingdings" w:hAnsi="Wingdings" w:hint="default"/>
      </w:rPr>
    </w:lvl>
    <w:lvl w:ilvl="4" w:tplc="14100C0A" w:tentative="1">
      <w:start w:val="1"/>
      <w:numFmt w:val="bullet"/>
      <w:lvlText w:val="ü"/>
      <w:lvlJc w:val="left"/>
      <w:pPr>
        <w:tabs>
          <w:tab w:val="num" w:pos="3600"/>
        </w:tabs>
        <w:ind w:left="3600" w:hanging="360"/>
      </w:pPr>
      <w:rPr>
        <w:rFonts w:ascii="Wingdings" w:hAnsi="Wingdings" w:hint="default"/>
      </w:rPr>
    </w:lvl>
    <w:lvl w:ilvl="5" w:tplc="16F05756" w:tentative="1">
      <w:start w:val="1"/>
      <w:numFmt w:val="bullet"/>
      <w:lvlText w:val="ü"/>
      <w:lvlJc w:val="left"/>
      <w:pPr>
        <w:tabs>
          <w:tab w:val="num" w:pos="4320"/>
        </w:tabs>
        <w:ind w:left="4320" w:hanging="360"/>
      </w:pPr>
      <w:rPr>
        <w:rFonts w:ascii="Wingdings" w:hAnsi="Wingdings" w:hint="default"/>
      </w:rPr>
    </w:lvl>
    <w:lvl w:ilvl="6" w:tplc="1304E266" w:tentative="1">
      <w:start w:val="1"/>
      <w:numFmt w:val="bullet"/>
      <w:lvlText w:val="ü"/>
      <w:lvlJc w:val="left"/>
      <w:pPr>
        <w:tabs>
          <w:tab w:val="num" w:pos="5040"/>
        </w:tabs>
        <w:ind w:left="5040" w:hanging="360"/>
      </w:pPr>
      <w:rPr>
        <w:rFonts w:ascii="Wingdings" w:hAnsi="Wingdings" w:hint="default"/>
      </w:rPr>
    </w:lvl>
    <w:lvl w:ilvl="7" w:tplc="DD721DE8" w:tentative="1">
      <w:start w:val="1"/>
      <w:numFmt w:val="bullet"/>
      <w:lvlText w:val="ü"/>
      <w:lvlJc w:val="left"/>
      <w:pPr>
        <w:tabs>
          <w:tab w:val="num" w:pos="5760"/>
        </w:tabs>
        <w:ind w:left="5760" w:hanging="360"/>
      </w:pPr>
      <w:rPr>
        <w:rFonts w:ascii="Wingdings" w:hAnsi="Wingdings" w:hint="default"/>
      </w:rPr>
    </w:lvl>
    <w:lvl w:ilvl="8" w:tplc="9476127A" w:tentative="1">
      <w:start w:val="1"/>
      <w:numFmt w:val="bullet"/>
      <w:lvlText w:val="ü"/>
      <w:lvlJc w:val="left"/>
      <w:pPr>
        <w:tabs>
          <w:tab w:val="num" w:pos="6480"/>
        </w:tabs>
        <w:ind w:left="6480" w:hanging="360"/>
      </w:pPr>
      <w:rPr>
        <w:rFonts w:ascii="Wingdings" w:hAnsi="Wingdings" w:hint="default"/>
      </w:rPr>
    </w:lvl>
  </w:abstractNum>
  <w:abstractNum w:abstractNumId="5" w15:restartNumberingAfterBreak="0">
    <w:nsid w:val="3C652118"/>
    <w:multiLevelType w:val="hybridMultilevel"/>
    <w:tmpl w:val="380ECE7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0C6AAC"/>
    <w:multiLevelType w:val="hybridMultilevel"/>
    <w:tmpl w:val="0D0CD160"/>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2007607"/>
    <w:multiLevelType w:val="hybridMultilevel"/>
    <w:tmpl w:val="77D0035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CB4675F"/>
    <w:multiLevelType w:val="hybridMultilevel"/>
    <w:tmpl w:val="08C032C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577592909">
    <w:abstractNumId w:val="3"/>
  </w:num>
  <w:num w:numId="2" w16cid:durableId="1779989076">
    <w:abstractNumId w:val="7"/>
  </w:num>
  <w:num w:numId="3" w16cid:durableId="1257129614">
    <w:abstractNumId w:val="5"/>
  </w:num>
  <w:num w:numId="4" w16cid:durableId="1584341884">
    <w:abstractNumId w:val="6"/>
  </w:num>
  <w:num w:numId="5" w16cid:durableId="1322731526">
    <w:abstractNumId w:val="8"/>
  </w:num>
  <w:num w:numId="6" w16cid:durableId="2109278479">
    <w:abstractNumId w:val="3"/>
  </w:num>
  <w:num w:numId="7" w16cid:durableId="43919115">
    <w:abstractNumId w:val="2"/>
  </w:num>
  <w:num w:numId="8" w16cid:durableId="301694508">
    <w:abstractNumId w:val="1"/>
  </w:num>
  <w:num w:numId="9" w16cid:durableId="1059354760">
    <w:abstractNumId w:val="4"/>
  </w:num>
  <w:num w:numId="10" w16cid:durableId="127212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MzEyMDQyMbU0sLRQ0lEKTi0uzszPAykwrAUAKm1FmiwAAAA="/>
  </w:docVars>
  <w:rsids>
    <w:rsidRoot w:val="008976FF"/>
    <w:rsid w:val="00002FD9"/>
    <w:rsid w:val="00003A45"/>
    <w:rsid w:val="00013235"/>
    <w:rsid w:val="00017A5C"/>
    <w:rsid w:val="00066ABA"/>
    <w:rsid w:val="00067920"/>
    <w:rsid w:val="00067967"/>
    <w:rsid w:val="0007259A"/>
    <w:rsid w:val="0008464C"/>
    <w:rsid w:val="00095C47"/>
    <w:rsid w:val="000A5278"/>
    <w:rsid w:val="000A62CD"/>
    <w:rsid w:val="000B1783"/>
    <w:rsid w:val="000D4CD7"/>
    <w:rsid w:val="000E5278"/>
    <w:rsid w:val="000F53FB"/>
    <w:rsid w:val="00100392"/>
    <w:rsid w:val="00112A09"/>
    <w:rsid w:val="0012227D"/>
    <w:rsid w:val="0012763E"/>
    <w:rsid w:val="001408BD"/>
    <w:rsid w:val="00140910"/>
    <w:rsid w:val="00154E4E"/>
    <w:rsid w:val="00176AAC"/>
    <w:rsid w:val="00182167"/>
    <w:rsid w:val="00192224"/>
    <w:rsid w:val="00193233"/>
    <w:rsid w:val="001A100B"/>
    <w:rsid w:val="001A1158"/>
    <w:rsid w:val="001A55EF"/>
    <w:rsid w:val="001D2BCA"/>
    <w:rsid w:val="001E467E"/>
    <w:rsid w:val="001F44F2"/>
    <w:rsid w:val="00220779"/>
    <w:rsid w:val="00222C50"/>
    <w:rsid w:val="00243141"/>
    <w:rsid w:val="002971E5"/>
    <w:rsid w:val="00297A21"/>
    <w:rsid w:val="002B09F0"/>
    <w:rsid w:val="002C32F4"/>
    <w:rsid w:val="002C5B68"/>
    <w:rsid w:val="002D2D4D"/>
    <w:rsid w:val="002F79E0"/>
    <w:rsid w:val="0030171B"/>
    <w:rsid w:val="00305E01"/>
    <w:rsid w:val="00321B07"/>
    <w:rsid w:val="00322D0D"/>
    <w:rsid w:val="00353AA3"/>
    <w:rsid w:val="00360829"/>
    <w:rsid w:val="0036364A"/>
    <w:rsid w:val="00371AD7"/>
    <w:rsid w:val="00377F3D"/>
    <w:rsid w:val="003C6362"/>
    <w:rsid w:val="003C6905"/>
    <w:rsid w:val="003D5CD0"/>
    <w:rsid w:val="003E7DFE"/>
    <w:rsid w:val="003F05D4"/>
    <w:rsid w:val="003F1681"/>
    <w:rsid w:val="00405DF6"/>
    <w:rsid w:val="0040631F"/>
    <w:rsid w:val="00406E5A"/>
    <w:rsid w:val="0041006D"/>
    <w:rsid w:val="00435587"/>
    <w:rsid w:val="004371AD"/>
    <w:rsid w:val="004662B1"/>
    <w:rsid w:val="00473E8E"/>
    <w:rsid w:val="0047526C"/>
    <w:rsid w:val="004842D1"/>
    <w:rsid w:val="004A1585"/>
    <w:rsid w:val="004B364F"/>
    <w:rsid w:val="004C0803"/>
    <w:rsid w:val="004C7D92"/>
    <w:rsid w:val="004D03B3"/>
    <w:rsid w:val="004D3485"/>
    <w:rsid w:val="004D4A18"/>
    <w:rsid w:val="004F251E"/>
    <w:rsid w:val="004F7FB9"/>
    <w:rsid w:val="00511876"/>
    <w:rsid w:val="005279B4"/>
    <w:rsid w:val="00527F54"/>
    <w:rsid w:val="005402E1"/>
    <w:rsid w:val="005474F5"/>
    <w:rsid w:val="00551FA6"/>
    <w:rsid w:val="005A77B1"/>
    <w:rsid w:val="005C60AA"/>
    <w:rsid w:val="005E25EB"/>
    <w:rsid w:val="00604EC8"/>
    <w:rsid w:val="0061553D"/>
    <w:rsid w:val="00616A9E"/>
    <w:rsid w:val="0061748F"/>
    <w:rsid w:val="0061753A"/>
    <w:rsid w:val="006279EA"/>
    <w:rsid w:val="00636C09"/>
    <w:rsid w:val="006528C0"/>
    <w:rsid w:val="006804B1"/>
    <w:rsid w:val="00681E3D"/>
    <w:rsid w:val="006C0DCD"/>
    <w:rsid w:val="006C35DD"/>
    <w:rsid w:val="006D0035"/>
    <w:rsid w:val="006D5441"/>
    <w:rsid w:val="006E6E90"/>
    <w:rsid w:val="006F0295"/>
    <w:rsid w:val="006F5C84"/>
    <w:rsid w:val="006F5E49"/>
    <w:rsid w:val="007015C3"/>
    <w:rsid w:val="00717A24"/>
    <w:rsid w:val="0072328F"/>
    <w:rsid w:val="0074204C"/>
    <w:rsid w:val="00764BCB"/>
    <w:rsid w:val="00770FEB"/>
    <w:rsid w:val="007A744E"/>
    <w:rsid w:val="007B0DF0"/>
    <w:rsid w:val="007C32AD"/>
    <w:rsid w:val="007E7E5E"/>
    <w:rsid w:val="00826D79"/>
    <w:rsid w:val="008343B1"/>
    <w:rsid w:val="0085076B"/>
    <w:rsid w:val="00864CAB"/>
    <w:rsid w:val="008675D6"/>
    <w:rsid w:val="008859AE"/>
    <w:rsid w:val="008920C1"/>
    <w:rsid w:val="008976FF"/>
    <w:rsid w:val="008A67AE"/>
    <w:rsid w:val="008B4932"/>
    <w:rsid w:val="008C0132"/>
    <w:rsid w:val="008C4123"/>
    <w:rsid w:val="008C7CE3"/>
    <w:rsid w:val="008F5D24"/>
    <w:rsid w:val="00907456"/>
    <w:rsid w:val="009219AA"/>
    <w:rsid w:val="00923761"/>
    <w:rsid w:val="0093523D"/>
    <w:rsid w:val="00937B9A"/>
    <w:rsid w:val="00954A45"/>
    <w:rsid w:val="00974EB8"/>
    <w:rsid w:val="009766B2"/>
    <w:rsid w:val="009874AE"/>
    <w:rsid w:val="00992403"/>
    <w:rsid w:val="00997F9A"/>
    <w:rsid w:val="009E6009"/>
    <w:rsid w:val="009F1671"/>
    <w:rsid w:val="00A010C5"/>
    <w:rsid w:val="00A05316"/>
    <w:rsid w:val="00A06DAD"/>
    <w:rsid w:val="00A06EFA"/>
    <w:rsid w:val="00A2492D"/>
    <w:rsid w:val="00A36DCC"/>
    <w:rsid w:val="00A37D79"/>
    <w:rsid w:val="00A51845"/>
    <w:rsid w:val="00A5508D"/>
    <w:rsid w:val="00A700F3"/>
    <w:rsid w:val="00A750EC"/>
    <w:rsid w:val="00A90F21"/>
    <w:rsid w:val="00A96D04"/>
    <w:rsid w:val="00AC6CDE"/>
    <w:rsid w:val="00AC7259"/>
    <w:rsid w:val="00AF749E"/>
    <w:rsid w:val="00B00A8B"/>
    <w:rsid w:val="00B32D54"/>
    <w:rsid w:val="00B4188B"/>
    <w:rsid w:val="00B47B02"/>
    <w:rsid w:val="00B6025B"/>
    <w:rsid w:val="00B92F00"/>
    <w:rsid w:val="00BB4104"/>
    <w:rsid w:val="00BB42A3"/>
    <w:rsid w:val="00BF7E39"/>
    <w:rsid w:val="00C228D0"/>
    <w:rsid w:val="00C46CF5"/>
    <w:rsid w:val="00C6332E"/>
    <w:rsid w:val="00C72C76"/>
    <w:rsid w:val="00C75759"/>
    <w:rsid w:val="00C83BFC"/>
    <w:rsid w:val="00C9419E"/>
    <w:rsid w:val="00CC09D1"/>
    <w:rsid w:val="00CE4662"/>
    <w:rsid w:val="00CF634F"/>
    <w:rsid w:val="00D16FEC"/>
    <w:rsid w:val="00D25660"/>
    <w:rsid w:val="00D30A5C"/>
    <w:rsid w:val="00D330C9"/>
    <w:rsid w:val="00D33168"/>
    <w:rsid w:val="00D4629E"/>
    <w:rsid w:val="00D47B98"/>
    <w:rsid w:val="00D531CD"/>
    <w:rsid w:val="00D56A1C"/>
    <w:rsid w:val="00D56BA6"/>
    <w:rsid w:val="00D62FD1"/>
    <w:rsid w:val="00D92B17"/>
    <w:rsid w:val="00D96C94"/>
    <w:rsid w:val="00DA7BE1"/>
    <w:rsid w:val="00DB4BFE"/>
    <w:rsid w:val="00DC1483"/>
    <w:rsid w:val="00DC57C9"/>
    <w:rsid w:val="00DE5183"/>
    <w:rsid w:val="00DE7659"/>
    <w:rsid w:val="00DF6B47"/>
    <w:rsid w:val="00DF7387"/>
    <w:rsid w:val="00E162C9"/>
    <w:rsid w:val="00E20DC4"/>
    <w:rsid w:val="00E62B1D"/>
    <w:rsid w:val="00E655B1"/>
    <w:rsid w:val="00E7651A"/>
    <w:rsid w:val="00EA3631"/>
    <w:rsid w:val="00EB05D1"/>
    <w:rsid w:val="00EC725F"/>
    <w:rsid w:val="00ED3803"/>
    <w:rsid w:val="00ED3B3C"/>
    <w:rsid w:val="00ED64BA"/>
    <w:rsid w:val="00EE1699"/>
    <w:rsid w:val="00F0538E"/>
    <w:rsid w:val="00F2728A"/>
    <w:rsid w:val="00F7431E"/>
    <w:rsid w:val="00F7549A"/>
    <w:rsid w:val="00F90988"/>
    <w:rsid w:val="00FA2B0C"/>
    <w:rsid w:val="00FB6F98"/>
    <w:rsid w:val="1E86497C"/>
    <w:rsid w:val="31593C6C"/>
    <w:rsid w:val="388A2067"/>
    <w:rsid w:val="725A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329B2"/>
  <w15:chartTrackingRefBased/>
  <w15:docId w15:val="{F3D93E25-52BF-45AE-A64B-7899807F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6F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5474F5"/>
    <w:pPr>
      <w:keepNext/>
      <w:widowControl/>
      <w:outlineLvl w:val="0"/>
    </w:pPr>
    <w:rPr>
      <w:b/>
      <w:bCs/>
      <w:snapToGrid/>
      <w:sz w:val="16"/>
      <w:szCs w:val="24"/>
    </w:rPr>
  </w:style>
  <w:style w:type="paragraph" w:styleId="Heading2">
    <w:name w:val="heading 2"/>
    <w:basedOn w:val="Normal"/>
    <w:next w:val="Normal"/>
    <w:link w:val="Heading2Char"/>
    <w:uiPriority w:val="9"/>
    <w:semiHidden/>
    <w:unhideWhenUsed/>
    <w:qFormat/>
    <w:rsid w:val="008859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FF"/>
    <w:rPr>
      <w:rFonts w:ascii="Segoe UI" w:hAnsi="Segoe UI" w:cs="Segoe UI"/>
      <w:sz w:val="18"/>
      <w:szCs w:val="18"/>
    </w:rPr>
  </w:style>
  <w:style w:type="paragraph" w:styleId="Header">
    <w:name w:val="header"/>
    <w:basedOn w:val="Normal"/>
    <w:link w:val="HeaderChar"/>
    <w:unhideWhenUsed/>
    <w:rsid w:val="008976FF"/>
    <w:pPr>
      <w:tabs>
        <w:tab w:val="center" w:pos="4680"/>
        <w:tab w:val="right" w:pos="9360"/>
      </w:tabs>
    </w:pPr>
  </w:style>
  <w:style w:type="character" w:customStyle="1" w:styleId="HeaderChar">
    <w:name w:val="Header Char"/>
    <w:basedOn w:val="DefaultParagraphFont"/>
    <w:link w:val="Header"/>
    <w:uiPriority w:val="99"/>
    <w:rsid w:val="008976FF"/>
  </w:style>
  <w:style w:type="paragraph" w:styleId="Footer">
    <w:name w:val="footer"/>
    <w:basedOn w:val="Normal"/>
    <w:link w:val="FooterChar"/>
    <w:uiPriority w:val="99"/>
    <w:unhideWhenUsed/>
    <w:rsid w:val="008976FF"/>
    <w:pPr>
      <w:tabs>
        <w:tab w:val="center" w:pos="4680"/>
        <w:tab w:val="right" w:pos="9360"/>
      </w:tabs>
    </w:pPr>
  </w:style>
  <w:style w:type="character" w:customStyle="1" w:styleId="FooterChar">
    <w:name w:val="Footer Char"/>
    <w:basedOn w:val="DefaultParagraphFont"/>
    <w:link w:val="Footer"/>
    <w:uiPriority w:val="99"/>
    <w:rsid w:val="008976FF"/>
  </w:style>
  <w:style w:type="table" w:styleId="TableGrid">
    <w:name w:val="Table Grid"/>
    <w:basedOn w:val="TableNormal"/>
    <w:uiPriority w:val="39"/>
    <w:rsid w:val="008976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6FF"/>
    <w:pPr>
      <w:ind w:left="720"/>
      <w:contextualSpacing/>
    </w:pPr>
  </w:style>
  <w:style w:type="character" w:styleId="CommentReference">
    <w:name w:val="annotation reference"/>
    <w:rsid w:val="008976FF"/>
    <w:rPr>
      <w:sz w:val="16"/>
      <w:szCs w:val="16"/>
    </w:rPr>
  </w:style>
  <w:style w:type="paragraph" w:styleId="CommentText">
    <w:name w:val="annotation text"/>
    <w:basedOn w:val="Normal"/>
    <w:link w:val="CommentTextChar"/>
    <w:rsid w:val="008976FF"/>
    <w:rPr>
      <w:sz w:val="20"/>
    </w:rPr>
  </w:style>
  <w:style w:type="character" w:customStyle="1" w:styleId="CommentTextChar">
    <w:name w:val="Comment Text Char"/>
    <w:basedOn w:val="DefaultParagraphFont"/>
    <w:link w:val="CommentText"/>
    <w:rsid w:val="008976FF"/>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F79E0"/>
    <w:rPr>
      <w:b/>
      <w:bCs/>
    </w:rPr>
  </w:style>
  <w:style w:type="character" w:customStyle="1" w:styleId="CommentSubjectChar">
    <w:name w:val="Comment Subject Char"/>
    <w:basedOn w:val="CommentTextChar"/>
    <w:link w:val="CommentSubject"/>
    <w:uiPriority w:val="99"/>
    <w:semiHidden/>
    <w:rsid w:val="002F79E0"/>
    <w:rPr>
      <w:rFonts w:ascii="Times New Roman" w:eastAsia="Times New Roman" w:hAnsi="Times New Roman" w:cs="Times New Roman"/>
      <w:b/>
      <w:bCs/>
      <w:snapToGrid w:val="0"/>
      <w:sz w:val="20"/>
      <w:szCs w:val="20"/>
    </w:rPr>
  </w:style>
  <w:style w:type="character" w:styleId="Hyperlink">
    <w:name w:val="Hyperlink"/>
    <w:rsid w:val="005474F5"/>
    <w:rPr>
      <w:color w:val="0000FF"/>
      <w:u w:val="single"/>
    </w:rPr>
  </w:style>
  <w:style w:type="character" w:customStyle="1" w:styleId="Heading1Char">
    <w:name w:val="Heading 1 Char"/>
    <w:basedOn w:val="DefaultParagraphFont"/>
    <w:link w:val="Heading1"/>
    <w:rsid w:val="005474F5"/>
    <w:rPr>
      <w:rFonts w:ascii="Times New Roman" w:eastAsia="Times New Roman" w:hAnsi="Times New Roman" w:cs="Times New Roman"/>
      <w:b/>
      <w:bCs/>
      <w:sz w:val="16"/>
      <w:szCs w:val="24"/>
    </w:rPr>
  </w:style>
  <w:style w:type="character" w:styleId="UnresolvedMention">
    <w:name w:val="Unresolved Mention"/>
    <w:basedOn w:val="DefaultParagraphFont"/>
    <w:uiPriority w:val="99"/>
    <w:semiHidden/>
    <w:unhideWhenUsed/>
    <w:rsid w:val="00B4188B"/>
    <w:rPr>
      <w:color w:val="605E5C"/>
      <w:shd w:val="clear" w:color="auto" w:fill="E1DFDD"/>
    </w:rPr>
  </w:style>
  <w:style w:type="paragraph" w:styleId="FootnoteText">
    <w:name w:val="footnote text"/>
    <w:basedOn w:val="Normal"/>
    <w:link w:val="FootnoteTextChar"/>
    <w:rsid w:val="00017A5C"/>
    <w:pPr>
      <w:widowControl/>
    </w:pPr>
    <w:rPr>
      <w:rFonts w:ascii="Palatino Linotype" w:hAnsi="Palatino Linotype"/>
      <w:snapToGrid/>
      <w:sz w:val="20"/>
    </w:rPr>
  </w:style>
  <w:style w:type="character" w:customStyle="1" w:styleId="FootnoteTextChar">
    <w:name w:val="Footnote Text Char"/>
    <w:basedOn w:val="DefaultParagraphFont"/>
    <w:link w:val="FootnoteText"/>
    <w:rsid w:val="00017A5C"/>
    <w:rPr>
      <w:rFonts w:ascii="Palatino Linotype" w:eastAsia="Times New Roman" w:hAnsi="Palatino Linotype" w:cs="Times New Roman"/>
      <w:sz w:val="20"/>
      <w:szCs w:val="20"/>
    </w:rPr>
  </w:style>
  <w:style w:type="character" w:styleId="FootnoteReference">
    <w:name w:val="footnote reference"/>
    <w:rsid w:val="00017A5C"/>
    <w:rPr>
      <w:vertAlign w:val="superscript"/>
    </w:rPr>
  </w:style>
  <w:style w:type="character" w:customStyle="1" w:styleId="jobtitle1">
    <w:name w:val="jobtitle1"/>
    <w:rsid w:val="001A55EF"/>
    <w:rPr>
      <w:i/>
      <w:iCs/>
    </w:rPr>
  </w:style>
  <w:style w:type="character" w:styleId="PlaceholderText">
    <w:name w:val="Placeholder Text"/>
    <w:basedOn w:val="DefaultParagraphFont"/>
    <w:uiPriority w:val="99"/>
    <w:semiHidden/>
    <w:rsid w:val="00B32D54"/>
    <w:rPr>
      <w:color w:val="808080"/>
    </w:rPr>
  </w:style>
  <w:style w:type="character" w:customStyle="1" w:styleId="Heading2Char">
    <w:name w:val="Heading 2 Char"/>
    <w:basedOn w:val="DefaultParagraphFont"/>
    <w:link w:val="Heading2"/>
    <w:uiPriority w:val="9"/>
    <w:semiHidden/>
    <w:rsid w:val="008859AE"/>
    <w:rPr>
      <w:rFonts w:asciiTheme="majorHAnsi" w:eastAsiaTheme="majorEastAsia" w:hAnsiTheme="majorHAnsi" w:cstheme="majorBidi"/>
      <w:snapToGrid w:val="0"/>
      <w:color w:val="2F5496" w:themeColor="accent1" w:themeShade="BF"/>
      <w:sz w:val="26"/>
      <w:szCs w:val="26"/>
    </w:rPr>
  </w:style>
  <w:style w:type="paragraph" w:styleId="BodyText">
    <w:name w:val="Body Text"/>
    <w:basedOn w:val="Normal"/>
    <w:link w:val="BodyTextChar"/>
    <w:rsid w:val="008859AE"/>
    <w:pPr>
      <w:widowControl/>
      <w:spacing w:line="240" w:lineRule="exact"/>
      <w:ind w:right="90"/>
    </w:pPr>
    <w:rPr>
      <w:snapToGrid/>
    </w:rPr>
  </w:style>
  <w:style w:type="character" w:customStyle="1" w:styleId="BodyTextChar">
    <w:name w:val="Body Text Char"/>
    <w:basedOn w:val="DefaultParagraphFont"/>
    <w:link w:val="BodyText"/>
    <w:rsid w:val="008859A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0193">
      <w:bodyDiv w:val="1"/>
      <w:marLeft w:val="0"/>
      <w:marRight w:val="0"/>
      <w:marTop w:val="0"/>
      <w:marBottom w:val="0"/>
      <w:divBdr>
        <w:top w:val="none" w:sz="0" w:space="0" w:color="auto"/>
        <w:left w:val="none" w:sz="0" w:space="0" w:color="auto"/>
        <w:bottom w:val="none" w:sz="0" w:space="0" w:color="auto"/>
        <w:right w:val="none" w:sz="0" w:space="0" w:color="auto"/>
      </w:divBdr>
    </w:div>
    <w:div w:id="487132087">
      <w:bodyDiv w:val="1"/>
      <w:marLeft w:val="0"/>
      <w:marRight w:val="0"/>
      <w:marTop w:val="0"/>
      <w:marBottom w:val="0"/>
      <w:divBdr>
        <w:top w:val="none" w:sz="0" w:space="0" w:color="auto"/>
        <w:left w:val="none" w:sz="0" w:space="0" w:color="auto"/>
        <w:bottom w:val="none" w:sz="0" w:space="0" w:color="auto"/>
        <w:right w:val="none" w:sz="0" w:space="0" w:color="auto"/>
      </w:divBdr>
    </w:div>
    <w:div w:id="1246455567">
      <w:bodyDiv w:val="1"/>
      <w:marLeft w:val="0"/>
      <w:marRight w:val="0"/>
      <w:marTop w:val="0"/>
      <w:marBottom w:val="0"/>
      <w:divBdr>
        <w:top w:val="none" w:sz="0" w:space="0" w:color="auto"/>
        <w:left w:val="none" w:sz="0" w:space="0" w:color="auto"/>
        <w:bottom w:val="none" w:sz="0" w:space="0" w:color="auto"/>
        <w:right w:val="none" w:sz="0" w:space="0" w:color="auto"/>
      </w:divBdr>
    </w:div>
    <w:div w:id="15923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cme.org/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B9749.6DDD06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53D579BAF1640B2D0841C764F24DA" ma:contentTypeVersion="18" ma:contentTypeDescription="Create a new document." ma:contentTypeScope="" ma:versionID="e89ac6c628de8e6094f83fa29ed2b525">
  <xsd:schema xmlns:xsd="http://www.w3.org/2001/XMLSchema" xmlns:xs="http://www.w3.org/2001/XMLSchema" xmlns:p="http://schemas.microsoft.com/office/2006/metadata/properties" xmlns:ns2="64907935-b09a-43b3-a3a7-ba1ee6b6ed9b" xmlns:ns3="bd49bae8-3e90-4625-9359-c6eac1a44bf1" targetNamespace="http://schemas.microsoft.com/office/2006/metadata/properties" ma:root="true" ma:fieldsID="b3aa1dfa892c78fae38ad3455a283999" ns2:_="" ns3:_="">
    <xsd:import namespace="64907935-b09a-43b3-a3a7-ba1ee6b6ed9b"/>
    <xsd:import namespace="bd49bae8-3e90-4625-9359-c6eac1a44b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07935-b09a-43b3-a3a7-ba1ee6b6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12e436-4693-4b20-ac9a-7455c07c86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9bae8-3e90-4625-9359-c6eac1a44b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89131c-75bf-4620-943f-cc0b1a04c3a4}" ma:internalName="TaxCatchAll" ma:showField="CatchAllData" ma:web="bd49bae8-3e90-4625-9359-c6eac1a44bf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49bae8-3e90-4625-9359-c6eac1a44bf1" xsi:nil="true"/>
    <lcf76f155ced4ddcb4097134ff3c332f xmlns="64907935-b09a-43b3-a3a7-ba1ee6b6e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CB9550-BC25-4FCB-9455-C4C4A87FF698}">
  <ds:schemaRefs>
    <ds:schemaRef ds:uri="http://schemas.openxmlformats.org/officeDocument/2006/bibliography"/>
  </ds:schemaRefs>
</ds:datastoreItem>
</file>

<file path=customXml/itemProps2.xml><?xml version="1.0" encoding="utf-8"?>
<ds:datastoreItem xmlns:ds="http://schemas.openxmlformats.org/officeDocument/2006/customXml" ds:itemID="{E12D648E-7071-4374-8333-E40CC92BA5A4}">
  <ds:schemaRefs>
    <ds:schemaRef ds:uri="http://schemas.microsoft.com/sharepoint/v3/contenttype/forms"/>
  </ds:schemaRefs>
</ds:datastoreItem>
</file>

<file path=customXml/itemProps3.xml><?xml version="1.0" encoding="utf-8"?>
<ds:datastoreItem xmlns:ds="http://schemas.openxmlformats.org/officeDocument/2006/customXml" ds:itemID="{2D3BCCA9-1CF8-481F-9002-40C583B08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07935-b09a-43b3-a3a7-ba1ee6b6ed9b"/>
    <ds:schemaRef ds:uri="bd49bae8-3e90-4625-9359-c6eac1a44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C7BD6-DFB9-4C47-AA32-CBF72CB77B0D}">
  <ds:schemaRefs>
    <ds:schemaRef ds:uri="http://schemas.microsoft.com/office/2006/metadata/properties"/>
    <ds:schemaRef ds:uri="http://schemas.microsoft.com/office/infopath/2007/PartnerControls"/>
    <ds:schemaRef ds:uri="bd49bae8-3e90-4625-9359-c6eac1a44bf1"/>
    <ds:schemaRef ds:uri="64907935-b09a-43b3-a3a7-ba1ee6b6ed9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Links>
    <vt:vector size="12" baseType="variant">
      <vt:variant>
        <vt:i4>1572977</vt:i4>
      </vt:variant>
      <vt:variant>
        <vt:i4>225</vt:i4>
      </vt:variant>
      <vt:variant>
        <vt:i4>0</vt:i4>
      </vt:variant>
      <vt:variant>
        <vt:i4>5</vt:i4>
      </vt:variant>
      <vt:variant>
        <vt:lpwstr>https://intranet.clinicaloptions.com/editorial/training/Shared Documents/Consent and Release Form_Mayo Faculty.doc</vt:lpwstr>
      </vt:variant>
      <vt:variant>
        <vt:lpwstr/>
      </vt:variant>
      <vt:variant>
        <vt:i4>196665</vt:i4>
      </vt:variant>
      <vt:variant>
        <vt:i4>9</vt:i4>
      </vt:variant>
      <vt:variant>
        <vt:i4>0</vt:i4>
      </vt:variant>
      <vt:variant>
        <vt:i4>5</vt:i4>
      </vt:variant>
      <vt:variant>
        <vt:lpwstr>mailto:hart@clinicaloptions.com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Smilek</dc:creator>
  <cp:lastModifiedBy>Bryanna Sabourin</cp:lastModifiedBy>
  <cp:revision>3</cp:revision>
  <dcterms:created xsi:type="dcterms:W3CDTF">2025-06-09T20:27:00Z</dcterms:created>
  <dcterms:modified xsi:type="dcterms:W3CDTF">2026-05-05T14:21:00Z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0x010100E2153D579BAF1640B2D0841C764F24DA</vt:lpwstr>
  </property>
  <property fmtid="{D5CDD505-2E9C-101B-9397-08002B2CF9AE}" pid="3" name="GrammarlyDocumentId">
    <vt:lpwstr>70110343-61d2-44b6-a141-9ebbe2faa758</vt:lpwstr>
  </property>
</Properties>
</file>